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合肥数投协同办公系统软件及配套服务</w:t>
      </w:r>
    </w:p>
    <w:p>
      <w:pPr>
        <w:pStyle w:val="5"/>
        <w:jc w:val="center"/>
      </w:pPr>
      <w:r>
        <w:rPr>
          <w:rFonts w:hint="eastAsia" w:ascii="方正小标宋简体" w:hAnsi="方正小标宋简体" w:eastAsia="方正小标宋简体" w:cs="方正小标宋简体"/>
          <w:sz w:val="40"/>
          <w:szCs w:val="40"/>
        </w:rPr>
        <w:t>询比采购文件</w:t>
      </w:r>
    </w:p>
    <w:p>
      <w:pPr>
        <w:pStyle w:val="2"/>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（一）项目名称：合肥数投协同办公系统软件及配套服务</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（二）项目预算：</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（四）项目单位：合肥市数智城市投资运营有限公司</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（五）采购方式：询比</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（六）评标方法：综合评分法</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（七）进度要求：合同签订后，供应商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个工作日内完成交付。</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（八）服务期限：1年。</w:t>
      </w:r>
    </w:p>
    <w:p>
      <w:pPr>
        <w:ind w:firstLine="640" w:firstLineChars="200"/>
        <w:rPr>
          <w:rFonts w:ascii="仿宋_GB2312" w:hAnsi="宋体"/>
          <w:sz w:val="28"/>
          <w:szCs w:val="28"/>
        </w:rPr>
      </w:pPr>
      <w:r>
        <w:rPr>
          <w:rFonts w:hint="eastAsia" w:ascii="仿宋_GB2312" w:hAnsi="仿宋_GB2312" w:eastAsia="仿宋_GB2312" w:cs="仿宋_GB2312"/>
          <w:sz w:val="32"/>
          <w:szCs w:val="32"/>
        </w:rPr>
        <w:t>（九）支付方式：项目验收合格后支付</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%合同款，剩余1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费用一年运维期满后支付。</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二、采购内容</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合作期间，供应商单位须根据本公司需求，在规定时间完成协同办公系统软件部署。具体内容如下：</w:t>
      </w:r>
    </w:p>
    <w:p>
      <w:pPr>
        <w:pStyle w:val="25"/>
        <w:spacing w:line="560" w:lineRule="exact"/>
        <w:ind w:left="0" w:firstLine="643" w:firstLineChars="200"/>
      </w:pPr>
      <w:r>
        <w:rPr>
          <w:rFonts w:hint="eastAsia" w:ascii="仿宋_GB2312" w:hAnsi="仿宋_GB2312" w:eastAsia="仿宋_GB2312" w:cs="仿宋_GB2312"/>
          <w:b/>
          <w:bCs/>
          <w:sz w:val="32"/>
          <w:szCs w:val="32"/>
        </w:rPr>
        <w:t>功能需求：</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1、统一门户建设</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建立单位统一的信息化入口，包括总部门户、子公司门户、职能部门门户、知识门户等，方便用户通过一个入口访问单位各个应用系统，并通过信息门户实现单位品牌、组织文化、操作体验的统一设计规范。以数据获取和数据整合为核心，通过对各类现有应用系统中信息和数据资源的全面、有机整合来为业务系统的工作协同服务。</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2、流程管理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统一的流程审批平台，提供流程标准模板，通过流程的建立和规范、流程数据分析，最终达到优化流程，解决协同工作和信息共享的同时，实现在线业务流转和管理，基于单位移动办公的需要，实现手机网上审批的功能。</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3、公文管理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支持收文、发文规范化管理，包括政务收文、请示、报告、备案登记等，可以在主流浏览器（包括但不限于IE、Microsoft Edge、Chrome）无需安装插件在线编写文档正文，也可以打开本地初稿的方式导入正文和上传附件。</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4、会议管理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支持会议全生命周期管理，包括会议室预约，会议安排、会议查询，会议统计，会议室使用统计等功能。</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、工作通知</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提供一对一、一对多的沟通过程管理，方便日常工作沟通、协调等。</w:t>
      </w:r>
    </w:p>
    <w:p>
      <w:pPr>
        <w:autoSpaceDE w:val="0"/>
        <w:autoSpaceDN w:val="0"/>
        <w:adjustRightInd w:val="0"/>
        <w:spacing w:line="360" w:lineRule="auto"/>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6、日志管理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提供每日、每周、每月定期编写工作日志、支持提交后可编辑功能。</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议题管理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实现党委会、办公会议题管理，根据不同议题类别构建不同的审批流程，确保议题申请流程化、议题决策标准化、决策数据推送化、决策过程可视化、决策跟踪提醒化、审批状态和议案文件等集中化管理。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新闻管理</w:t>
      </w:r>
    </w:p>
    <w:p>
      <w:pPr>
        <w:pStyle w:val="25"/>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提供信息发布功能，支持图片新闻、链接新闻、多媒体新闻、图文混排、支持投稿、审核、发布等信息全生命周期管理。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印章管理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支持印章的规范化管理，包括用印申请、刻章申请、证照申请、CA申请等功能，实现不同的审批流程。</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信息稿审批</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支持信息审批、信息审批转载、媒体采访申请单发起，并实现审批流程。</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行政事务管理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支持行政事务日常管理，涵盖物品管理、打印管理、车辆管理、外出管理、离肥管理、出差管理、工作餐管理、业务接待管理等。</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人事管理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提供整套人事管理流程，对员工招聘、员工入职、员工培训、员工离职、考勤、假请等进行规范化管理。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支持公司的费用预算管理，对员工的开票申请、付款申请、费用报销、差旅费报销、报销补票等进行流程化规范化管理。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法务管理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支持公司的法务风控相关事项管理，包括重大决策事项合法合规性审查，营收合同法审、采购合同法审、合作协议法审、规章制度法审、公开文件法审，合同评审、登记、统一管理等功能。</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实现项目客商管理、项目信息登记、项目进度跟进、项目挂图作战图等管理功能，让项目管理人员随时监控项目进展，跟踪项目过程。</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运营管理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支持公司对安全生产进行管理，包括安全生产隐患排查、安全隐患整改反馈、隐患台账管理等功能。</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投资管理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支持公司对月度、季度、年度投资计划及投资完成情况进行规范化管理。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纪检监察管理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实现对公司重点工作督察、督查事项反馈、督查明细统计等功能，支持督查专报和数廉专报的规范化流程化管理。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支持公司采购的全流程管理，包括采购预统计、集中采购申请、分散采购申请、采购评审报告、采购验收申报等功能。</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知识管理</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构建统一的企业内部知识资产库，将所有知识进行统一分类，统一存储，统一管理。</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通讯录</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包括通讯录的分类、设置及查询功能，实现通讯方式个人维护，支持不同公司不同部门构建不同通讯录。</w:t>
      </w:r>
    </w:p>
    <w:p>
      <w:pPr>
        <w:pStyle w:val="25"/>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PC端、移动端即时通讯工具</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提供PC端、移动端即时通讯工具，提供组织内部的即时通讯、消息推送、待办提醒等功能，及简单便捷的各类审批操作。</w:t>
      </w:r>
    </w:p>
    <w:p>
      <w:pPr>
        <w:pStyle w:val="25"/>
        <w:spacing w:line="560" w:lineRule="exact"/>
        <w:ind w:lef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对接需求：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系统需免费提供与其他业务系统的对接接口，保证后期在业务数据需要同步共享时实现数据的互联互通。</w:t>
      </w:r>
    </w:p>
    <w:p>
      <w:pPr>
        <w:pStyle w:val="25"/>
        <w:spacing w:line="560" w:lineRule="exact"/>
        <w:ind w:lef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运维需求：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本次项目需要提供自项目终验起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年的免费运维服务，具体服务内容包含：</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1、系统日常运维服务，保证系统功能正常使用，系统稳定运行，包括但不限于系统操作指导、因系统缺陷导致的各种BUG的修复、因操作失误导致的数据错误维护等。</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2、系统软件各项相关技术问题解答，包括但不限于技术咨询、指导和信息提供等。</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3、系统突发事件的诊断、排除，系统安全升级。</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4、针对重大节假日、特殊事件活动日等情况，提供电话、邮件、远程等多种方式的技术支持服务。提供 7×24 小时的电话热线服务，解决系统在使用中遇到的问题，及时提出解决问题的建议和操作方法。</w:t>
      </w:r>
    </w:p>
    <w:p>
      <w:pPr>
        <w:pStyle w:val="25"/>
        <w:spacing w:line="560" w:lineRule="exact"/>
        <w:ind w:lef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本项目建设过程中所取得的所有知识产权归采购人所有。承建方对参与项目的工作人员严格保密要求，遵守保密规定，在系统开发及运维期间未经采购人批准不得随意查看、保存相关业务数据和资料泄露给第三方，如有泄露，将依法追究相关责任。</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三、供应商资格要求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1.供应商须具备独立承担民事责任的能力，具有有效的营业执照。</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2.供应商存在以下不良信用记录情形之一的，不得参与本次询比：</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（1）在“中国执行信息公开网”上列为失信被执行人的；</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（2）在“国家企业信用信息公示系统”上被列入严重违法失信企业名单的； </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（3）在“信用中国”上被列为重大税收违法失信主体的。</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（4）在“中国裁判文书网”上查询供应商或其法定代表人或拟派项目经理(项目负责人)具有行贿犯罪记录的。</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3.本项目不接受联合体应答。</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四、报价要求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项目总报价不超过</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否则视为报价无效。总报价包含完成本项目产生的一切费用，本次评审专家费由成交供应商承担（专家费用支付节点以采购人要求为准），供应商单位后期不得以任何理由向采购人追加费用，供应商报价时应综合考虑报价风险。</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五、评标办法</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本次询比采购采取综合评分法进行评审，评标按两阶段进行：初步评审和详细评审。首先由评审小组按照询比文件的要求，对各供应商的响应文件进行初步评审，通过初步评审的响应文件进入下一轮详细评审。</w:t>
      </w:r>
    </w:p>
    <w:p>
      <w:pPr>
        <w:widowControl/>
        <w:shd w:val="clear" w:color="auto" w:fill="FFFFFF"/>
        <w:spacing w:line="64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（一）初步评审</w:t>
      </w:r>
    </w:p>
    <w:p>
      <w:pPr>
        <w:spacing w:line="480" w:lineRule="exact"/>
        <w:jc w:val="center"/>
        <w:rPr>
          <w:rFonts w:ascii="仿宋" w:hAnsi="仿宋" w:eastAsia="仿宋" w:cs="仿宋"/>
          <w:b/>
          <w:kern w:val="0"/>
          <w:sz w:val="28"/>
          <w:szCs w:val="28"/>
        </w:rPr>
      </w:pPr>
      <w:r>
        <w:rPr>
          <w:rFonts w:hint="eastAsia" w:ascii="仿宋" w:hAnsi="仿宋" w:eastAsia="仿宋" w:cs="仿宋"/>
          <w:b/>
          <w:kern w:val="0"/>
          <w:sz w:val="28"/>
          <w:szCs w:val="28"/>
        </w:rPr>
        <w:t>评审标准</w:t>
      </w:r>
    </w:p>
    <w:tbl>
      <w:tblPr>
        <w:tblStyle w:val="1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评审因素</w:t>
            </w:r>
          </w:p>
        </w:tc>
        <w:tc>
          <w:tcPr>
            <w:tcW w:w="6724"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供应商名称</w:t>
            </w:r>
          </w:p>
        </w:tc>
        <w:tc>
          <w:tcPr>
            <w:tcW w:w="6724" w:type="dxa"/>
            <w:vAlign w:val="center"/>
          </w:tcPr>
          <w:p>
            <w:pPr>
              <w:adjustRightInd w:val="0"/>
              <w:snapToGrid w:val="0"/>
              <w:spacing w:line="480" w:lineRule="exact"/>
              <w:ind w:firstLine="11" w:firstLineChars="4"/>
              <w:rPr>
                <w:rFonts w:ascii="仿宋" w:hAnsi="仿宋" w:eastAsia="仿宋" w:cs="仿宋"/>
                <w:caps/>
                <w:sz w:val="28"/>
                <w:szCs w:val="28"/>
              </w:rPr>
            </w:pPr>
            <w:r>
              <w:rPr>
                <w:rFonts w:hint="eastAsia" w:ascii="仿宋" w:hAnsi="仿宋" w:eastAsia="仿宋" w:cs="仿宋"/>
                <w:caps/>
                <w:sz w:val="28"/>
                <w:szCs w:val="28"/>
              </w:rPr>
              <w:t>与</w:t>
            </w:r>
            <w:r>
              <w:rPr>
                <w:rFonts w:hint="eastAsia" w:ascii="仿宋" w:hAnsi="仿宋" w:eastAsia="仿宋" w:cs="仿宋"/>
                <w:kern w:val="0"/>
                <w:sz w:val="28"/>
                <w:szCs w:val="28"/>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文件签署</w:t>
            </w:r>
          </w:p>
        </w:tc>
        <w:tc>
          <w:tcPr>
            <w:tcW w:w="6724" w:type="dxa"/>
            <w:vAlign w:val="center"/>
          </w:tcPr>
          <w:p>
            <w:pPr>
              <w:adjustRightInd w:val="0"/>
              <w:snapToGrid w:val="0"/>
              <w:spacing w:line="480" w:lineRule="exact"/>
              <w:rPr>
                <w:rFonts w:ascii="仿宋" w:hAnsi="仿宋" w:eastAsia="仿宋" w:cs="仿宋"/>
                <w:caps/>
                <w:sz w:val="28"/>
                <w:szCs w:val="28"/>
              </w:rPr>
            </w:pPr>
            <w:r>
              <w:rPr>
                <w:rFonts w:hint="eastAsia" w:ascii="仿宋" w:hAnsi="仿宋" w:eastAsia="仿宋" w:cs="仿宋"/>
                <w:kern w:val="0"/>
                <w:sz w:val="28"/>
                <w:szCs w:val="28"/>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资格审查</w:t>
            </w:r>
          </w:p>
        </w:tc>
        <w:tc>
          <w:tcPr>
            <w:tcW w:w="6724" w:type="dxa"/>
          </w:tcPr>
          <w:p>
            <w:pPr>
              <w:pStyle w:val="25"/>
              <w:spacing w:line="560" w:lineRule="exact"/>
              <w:ind w:left="0"/>
              <w:rPr>
                <w:rFonts w:ascii="仿宋" w:hAnsi="仿宋" w:eastAsia="仿宋" w:cs="仿宋"/>
                <w:kern w:val="0"/>
                <w:sz w:val="28"/>
                <w:szCs w:val="28"/>
              </w:rPr>
            </w:pPr>
            <w:r>
              <w:rPr>
                <w:rFonts w:hint="eastAsia" w:ascii="仿宋" w:hAnsi="仿宋" w:eastAsia="仿宋" w:cs="仿宋"/>
                <w:kern w:val="0"/>
                <w:sz w:val="28"/>
                <w:szCs w:val="28"/>
              </w:rPr>
              <w:t>1.供应商须具备独立承担民事责任的能力，具有有效的营业执照。</w:t>
            </w:r>
          </w:p>
          <w:p>
            <w:pPr>
              <w:pStyle w:val="25"/>
              <w:spacing w:line="560" w:lineRule="exact"/>
              <w:ind w:left="0"/>
              <w:rPr>
                <w:rFonts w:ascii="仿宋" w:hAnsi="仿宋" w:eastAsia="仿宋" w:cs="仿宋"/>
                <w:kern w:val="0"/>
                <w:sz w:val="28"/>
                <w:szCs w:val="28"/>
              </w:rPr>
            </w:pPr>
            <w:r>
              <w:rPr>
                <w:rFonts w:hint="eastAsia" w:ascii="仿宋" w:hAnsi="仿宋" w:eastAsia="仿宋" w:cs="仿宋"/>
                <w:kern w:val="0"/>
                <w:sz w:val="28"/>
                <w:szCs w:val="28"/>
              </w:rPr>
              <w:t>2.供应商存在以下不良信用记录情形之一的，不得参与本次询比：</w:t>
            </w:r>
          </w:p>
          <w:p>
            <w:pPr>
              <w:pStyle w:val="14"/>
              <w:shd w:val="clear" w:color="auto" w:fill="FFFFFF"/>
              <w:spacing w:before="0" w:beforeAutospacing="0" w:after="0" w:afterAutospacing="0" w:line="560" w:lineRule="exact"/>
              <w:rPr>
                <w:rFonts w:ascii="仿宋" w:hAnsi="仿宋" w:eastAsia="仿宋" w:cs="仿宋"/>
                <w:sz w:val="28"/>
                <w:szCs w:val="28"/>
              </w:rPr>
            </w:pPr>
            <w:r>
              <w:rPr>
                <w:rFonts w:hint="eastAsia" w:ascii="仿宋" w:hAnsi="仿宋" w:eastAsia="仿宋" w:cs="仿宋"/>
                <w:sz w:val="28"/>
                <w:szCs w:val="28"/>
              </w:rPr>
              <w:t>（1）在“中国执行信息公开网”上列为失信被执行人的；</w:t>
            </w:r>
          </w:p>
          <w:p>
            <w:pPr>
              <w:pStyle w:val="14"/>
              <w:shd w:val="clear" w:color="auto" w:fill="FFFFFF"/>
              <w:spacing w:before="0" w:beforeAutospacing="0" w:after="0" w:afterAutospacing="0" w:line="560" w:lineRule="exact"/>
              <w:rPr>
                <w:rFonts w:ascii="仿宋" w:hAnsi="仿宋" w:eastAsia="仿宋" w:cs="仿宋"/>
                <w:sz w:val="28"/>
                <w:szCs w:val="28"/>
              </w:rPr>
            </w:pPr>
            <w:r>
              <w:rPr>
                <w:rFonts w:hint="eastAsia" w:ascii="仿宋" w:hAnsi="仿宋" w:eastAsia="仿宋" w:cs="仿宋"/>
                <w:sz w:val="28"/>
                <w:szCs w:val="28"/>
              </w:rPr>
              <w:t xml:space="preserve">（2）在“国家企业信用信息公示系统”上被列入严重违法失信企业名单的； </w:t>
            </w:r>
          </w:p>
          <w:p>
            <w:pPr>
              <w:pStyle w:val="14"/>
              <w:shd w:val="clear" w:color="auto" w:fill="FFFFFF"/>
              <w:spacing w:before="0" w:beforeAutospacing="0" w:after="0" w:afterAutospacing="0" w:line="560" w:lineRule="exact"/>
              <w:rPr>
                <w:rFonts w:ascii="仿宋" w:hAnsi="仿宋" w:eastAsia="仿宋" w:cs="仿宋"/>
                <w:sz w:val="28"/>
                <w:szCs w:val="28"/>
              </w:rPr>
            </w:pPr>
            <w:r>
              <w:rPr>
                <w:rFonts w:hint="eastAsia" w:ascii="仿宋" w:hAnsi="仿宋" w:eastAsia="仿宋" w:cs="仿宋"/>
                <w:sz w:val="28"/>
                <w:szCs w:val="28"/>
              </w:rPr>
              <w:t>（3）在“信用中国”上被列为重大税收违法失信主体的。</w:t>
            </w:r>
          </w:p>
          <w:p>
            <w:pPr>
              <w:pStyle w:val="14"/>
              <w:shd w:val="clear" w:color="auto" w:fill="FFFFFF"/>
              <w:spacing w:before="0" w:beforeAutospacing="0" w:after="0" w:afterAutospacing="0" w:line="560" w:lineRule="exact"/>
              <w:rPr>
                <w:rFonts w:ascii="仿宋" w:hAnsi="仿宋" w:eastAsia="仿宋" w:cs="仿宋"/>
                <w:sz w:val="28"/>
                <w:szCs w:val="28"/>
              </w:rPr>
            </w:pPr>
            <w:r>
              <w:rPr>
                <w:rFonts w:hint="eastAsia" w:ascii="仿宋" w:hAnsi="仿宋" w:eastAsia="仿宋" w:cs="仿宋"/>
                <w:sz w:val="28"/>
                <w:szCs w:val="28"/>
              </w:rPr>
              <w:t>（4）在“中国裁判文书网”上查询供应商或其法定代表人或拟派项目经理(项目负责人)具有行贿犯罪记录的。</w:t>
            </w:r>
          </w:p>
          <w:p>
            <w:pPr>
              <w:pStyle w:val="14"/>
              <w:shd w:val="clear" w:color="auto" w:fill="FFFFFF"/>
              <w:spacing w:before="0" w:beforeAutospacing="0" w:after="0" w:afterAutospacing="0"/>
              <w:rPr>
                <w:rFonts w:ascii="仿宋" w:hAnsi="仿宋" w:eastAsia="仿宋" w:cs="仿宋"/>
                <w:sz w:val="28"/>
                <w:szCs w:val="28"/>
              </w:rPr>
            </w:pPr>
            <w:r>
              <w:rPr>
                <w:rFonts w:hint="eastAsia" w:ascii="仿宋" w:hAnsi="仿宋" w:eastAsia="仿宋" w:cs="仿宋"/>
                <w:sz w:val="28"/>
                <w:szCs w:val="28"/>
              </w:rPr>
              <w:t>3.本项目不接受联合体应答。</w:t>
            </w:r>
          </w:p>
          <w:p>
            <w:pPr>
              <w:pStyle w:val="15"/>
              <w:tabs>
                <w:tab w:val="left" w:pos="1078"/>
                <w:tab w:val="left" w:pos="1176"/>
                <w:tab w:val="left" w:pos="1638"/>
                <w:tab w:val="left" w:pos="3920"/>
                <w:tab w:val="left" w:pos="5670"/>
              </w:tabs>
              <w:ind w:firstLine="0" w:firstLineChars="0"/>
              <w:rPr>
                <w:rFonts w:ascii="仿宋" w:hAnsi="仿宋" w:eastAsia="仿宋" w:cs="仿宋"/>
                <w:sz w:val="28"/>
                <w:szCs w:val="28"/>
              </w:rPr>
            </w:pPr>
            <w:r>
              <w:rPr>
                <w:rFonts w:hint="eastAsia" w:ascii="仿宋" w:hAnsi="仿宋" w:eastAsia="仿宋" w:cs="仿宋"/>
                <w:b/>
                <w:bCs/>
                <w:caps/>
                <w:sz w:val="28"/>
                <w:szCs w:val="28"/>
              </w:rPr>
              <w:t>上述第2项由应答供应商在响应文件中出具《承诺书》（见格式），同时评审小组应在评标现场查询：</w:t>
            </w:r>
            <w:r>
              <w:rPr>
                <w:rFonts w:hint="eastAsia" w:ascii="仿宋" w:hAnsi="仿宋" w:eastAsia="仿宋" w:cs="仿宋"/>
                <w:caps/>
                <w:sz w:val="28"/>
                <w:szCs w:val="28"/>
              </w:rPr>
              <w:t>“信用中国”、</w:t>
            </w:r>
            <w:r>
              <w:rPr>
                <w:rFonts w:hint="eastAsia" w:ascii="仿宋" w:hAnsi="仿宋" w:eastAsia="仿宋" w:cs="仿宋"/>
                <w:sz w:val="28"/>
                <w:szCs w:val="28"/>
              </w:rPr>
              <w:t>“中国执行信息公开网”、“</w:t>
            </w:r>
            <w:r>
              <w:rPr>
                <w:rFonts w:hint="eastAsia" w:ascii="仿宋" w:hAnsi="仿宋" w:eastAsia="仿宋" w:cs="仿宋"/>
                <w:kern w:val="0"/>
                <w:sz w:val="28"/>
                <w:szCs w:val="28"/>
              </w:rPr>
              <w:t>国家企业信用信息公示系统</w:t>
            </w:r>
            <w:r>
              <w:rPr>
                <w:rFonts w:hint="eastAsia" w:ascii="仿宋" w:hAnsi="仿宋" w:eastAsia="仿宋" w:cs="仿宋"/>
                <w:sz w:val="28"/>
                <w:szCs w:val="28"/>
              </w:rPr>
              <w:t>”、</w:t>
            </w:r>
            <w:r>
              <w:rPr>
                <w:rFonts w:hint="eastAsia" w:ascii="仿宋" w:hAnsi="仿宋" w:eastAsia="仿宋" w:cs="仿宋"/>
                <w:kern w:val="0"/>
                <w:sz w:val="28"/>
                <w:szCs w:val="28"/>
              </w:rPr>
              <w:t>“中国裁判文书网”</w:t>
            </w:r>
            <w:r>
              <w:rPr>
                <w:rFonts w:hint="eastAsia" w:ascii="仿宋" w:hAnsi="仿宋" w:eastAsia="仿宋" w:cs="仿宋"/>
                <w:caps/>
                <w:sz w:val="28"/>
                <w:szCs w:val="28"/>
              </w:rPr>
              <w:t>网站；以上查询结果效力优于供应商出具的承诺。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vAlign w:val="center"/>
          </w:tcPr>
          <w:p>
            <w:pPr>
              <w:adjustRightInd w:val="0"/>
              <w:snapToGrid w:val="0"/>
              <w:spacing w:line="480" w:lineRule="exact"/>
              <w:jc w:val="center"/>
              <w:rPr>
                <w:rFonts w:ascii="仿宋" w:hAnsi="仿宋" w:eastAsia="仿宋" w:cs="仿宋"/>
                <w:caps/>
                <w:sz w:val="28"/>
                <w:szCs w:val="28"/>
              </w:rPr>
            </w:pPr>
            <w:r>
              <w:rPr>
                <w:rFonts w:hint="eastAsia" w:ascii="仿宋" w:hAnsi="仿宋" w:eastAsia="仿宋" w:cs="仿宋"/>
                <w:caps/>
                <w:sz w:val="28"/>
                <w:szCs w:val="28"/>
              </w:rPr>
              <w:t>应答内容</w:t>
            </w:r>
          </w:p>
        </w:tc>
        <w:tc>
          <w:tcPr>
            <w:tcW w:w="6724" w:type="dxa"/>
            <w:vAlign w:val="center"/>
          </w:tcPr>
          <w:p>
            <w:pPr>
              <w:spacing w:line="360" w:lineRule="auto"/>
              <w:jc w:val="left"/>
              <w:rPr>
                <w:rFonts w:ascii="仿宋" w:hAnsi="仿宋" w:eastAsia="仿宋" w:cs="仿宋"/>
                <w:caps/>
                <w:sz w:val="28"/>
                <w:szCs w:val="28"/>
              </w:rPr>
            </w:pPr>
            <w:r>
              <w:rPr>
                <w:rFonts w:hint="eastAsia" w:ascii="仿宋" w:hAnsi="仿宋" w:eastAsia="仿宋" w:cs="仿宋"/>
                <w:caps/>
                <w:sz w:val="28"/>
                <w:szCs w:val="28"/>
              </w:rPr>
              <w:t>符合询比文件约定，满足采购需求中项目相关要求。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480" w:lineRule="exact"/>
              <w:rPr>
                <w:rFonts w:ascii="仿宋" w:hAnsi="仿宋" w:eastAsia="仿宋" w:cs="仿宋"/>
                <w:caps/>
                <w:sz w:val="28"/>
                <w:szCs w:val="28"/>
              </w:rPr>
            </w:pPr>
            <w:r>
              <w:rPr>
                <w:rFonts w:hint="eastAsia" w:ascii="仿宋" w:hAnsi="仿宋" w:eastAsia="仿宋" w:cs="仿宋"/>
                <w:caps/>
                <w:sz w:val="28"/>
                <w:szCs w:val="28"/>
              </w:rPr>
              <w:t xml:space="preserve">  </w:t>
            </w:r>
            <w:r>
              <w:rPr>
                <w:rFonts w:ascii="仿宋" w:hAnsi="仿宋" w:eastAsia="仿宋" w:cs="仿宋"/>
                <w:caps/>
                <w:sz w:val="28"/>
                <w:szCs w:val="28"/>
              </w:rPr>
              <w:t xml:space="preserve"> </w:t>
            </w:r>
            <w:r>
              <w:rPr>
                <w:rFonts w:hint="eastAsia" w:ascii="仿宋" w:hAnsi="仿宋" w:eastAsia="仿宋" w:cs="仿宋"/>
                <w:caps/>
                <w:sz w:val="28"/>
                <w:szCs w:val="28"/>
              </w:rPr>
              <w:t>应答限价</w:t>
            </w:r>
          </w:p>
        </w:tc>
        <w:tc>
          <w:tcPr>
            <w:tcW w:w="6724" w:type="dxa"/>
            <w:vAlign w:val="center"/>
          </w:tcPr>
          <w:p>
            <w:pPr>
              <w:adjustRightInd w:val="0"/>
              <w:snapToGrid w:val="0"/>
              <w:spacing w:line="480" w:lineRule="exact"/>
              <w:rPr>
                <w:rFonts w:ascii="仿宋" w:hAnsi="仿宋" w:eastAsia="仿宋" w:cs="仿宋"/>
                <w:caps/>
                <w:sz w:val="28"/>
                <w:szCs w:val="28"/>
              </w:rPr>
            </w:pPr>
            <w:r>
              <w:rPr>
                <w:rFonts w:hint="eastAsia" w:ascii="仿宋" w:hAnsi="仿宋" w:eastAsia="仿宋" w:cs="仿宋"/>
                <w:caps/>
                <w:sz w:val="28"/>
                <w:szCs w:val="28"/>
              </w:rPr>
              <w:t>应答供应商报价不得超过应答限价。</w:t>
            </w:r>
          </w:p>
        </w:tc>
      </w:tr>
    </w:tbl>
    <w:p>
      <w:pPr>
        <w:widowControl/>
        <w:shd w:val="clear" w:color="auto" w:fill="FFFFFF"/>
        <w:spacing w:line="64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（二）详细评审</w:t>
      </w:r>
    </w:p>
    <w:p>
      <w:pPr>
        <w:pStyle w:val="33"/>
        <w:ind w:firstLine="560" w:firstLineChars="200"/>
        <w:jc w:val="both"/>
        <w:rPr>
          <w:rFonts w:ascii="仿宋" w:hAnsi="仿宋" w:eastAsia="仿宋" w:cs="仿宋"/>
          <w:sz w:val="28"/>
          <w:szCs w:val="28"/>
        </w:rPr>
      </w:pPr>
      <w:r>
        <w:rPr>
          <w:rFonts w:hint="eastAsia" w:ascii="仿宋" w:hAnsi="仿宋" w:eastAsia="仿宋" w:cs="仿宋"/>
          <w:sz w:val="28"/>
          <w:szCs w:val="28"/>
        </w:rPr>
        <w:t>本项目采取综合评分法，以评审小组评审得分最高者为成交候选供应商。</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5387"/>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类别</w:t>
            </w:r>
          </w:p>
        </w:tc>
        <w:tc>
          <w:tcPr>
            <w:tcW w:w="5387" w:type="dxa"/>
            <w:vAlign w:val="center"/>
          </w:tcPr>
          <w:p>
            <w:pPr>
              <w:adjustRightInd w:val="0"/>
              <w:snapToGrid w:val="0"/>
              <w:spacing w:line="30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1188" w:type="dxa"/>
            <w:vAlign w:val="center"/>
          </w:tcPr>
          <w:p>
            <w:pPr>
              <w:adjustRightInd w:val="0"/>
              <w:snapToGrid w:val="0"/>
              <w:spacing w:line="30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分值分值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总体设计</w:t>
            </w:r>
          </w:p>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方案</w:t>
            </w:r>
          </w:p>
        </w:tc>
        <w:tc>
          <w:tcPr>
            <w:tcW w:w="5387" w:type="dxa"/>
            <w:vAlign w:val="center"/>
          </w:tcPr>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投标供应商提供总体建设方案，内容包含项目背景及对建设目标的理解、技术架构等，系统功能设计先进可靠，具有兼容性、安全性、实用性等，由评委会酌情评审。</w:t>
            </w:r>
          </w:p>
          <w:p>
            <w:pPr>
              <w:adjustRightInd w:val="0"/>
              <w:snapToGrid w:val="0"/>
              <w:spacing w:line="300" w:lineRule="auto"/>
              <w:jc w:val="left"/>
              <w:rPr>
                <w:rFonts w:ascii="仿宋" w:hAnsi="仿宋" w:eastAsia="仿宋" w:cs="仿宋"/>
                <w:kern w:val="0"/>
                <w:sz w:val="28"/>
                <w:szCs w:val="28"/>
                <w:highlight w:val="yellow"/>
              </w:rPr>
            </w:pPr>
            <w:r>
              <w:rPr>
                <w:rFonts w:hint="eastAsia" w:ascii="仿宋" w:hAnsi="仿宋" w:eastAsia="仿宋" w:cs="仿宋"/>
                <w:sz w:val="28"/>
                <w:szCs w:val="28"/>
              </w:rPr>
              <w:t>优秀得</w:t>
            </w:r>
            <w:r>
              <w:rPr>
                <w:rFonts w:ascii="仿宋" w:hAnsi="仿宋" w:eastAsia="仿宋" w:cs="仿宋"/>
                <w:sz w:val="28"/>
                <w:szCs w:val="28"/>
              </w:rPr>
              <w:t>11</w:t>
            </w:r>
            <w:r>
              <w:rPr>
                <w:rFonts w:hint="eastAsia" w:ascii="仿宋" w:hAnsi="仿宋" w:eastAsia="仿宋" w:cs="仿宋"/>
                <w:sz w:val="28"/>
                <w:szCs w:val="28"/>
              </w:rPr>
              <w:t>-</w:t>
            </w:r>
            <w:r>
              <w:rPr>
                <w:rFonts w:ascii="仿宋" w:hAnsi="仿宋" w:eastAsia="仿宋" w:cs="仿宋"/>
                <w:sz w:val="28"/>
                <w:szCs w:val="28"/>
              </w:rPr>
              <w:t>15</w:t>
            </w:r>
            <w:r>
              <w:rPr>
                <w:rFonts w:hint="eastAsia" w:ascii="仿宋" w:hAnsi="仿宋" w:eastAsia="仿宋" w:cs="仿宋"/>
                <w:sz w:val="28"/>
                <w:szCs w:val="28"/>
              </w:rPr>
              <w:t>分，良好得</w:t>
            </w:r>
            <w:r>
              <w:rPr>
                <w:rFonts w:ascii="仿宋" w:hAnsi="仿宋" w:eastAsia="仿宋" w:cs="仿宋"/>
                <w:sz w:val="28"/>
                <w:szCs w:val="28"/>
              </w:rPr>
              <w:t>6</w:t>
            </w: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分，一般得1-</w:t>
            </w:r>
            <w:r>
              <w:rPr>
                <w:rFonts w:ascii="仿宋" w:hAnsi="仿宋" w:eastAsia="仿宋" w:cs="仿宋"/>
                <w:sz w:val="28"/>
                <w:szCs w:val="28"/>
              </w:rPr>
              <w:t>5</w:t>
            </w:r>
            <w:r>
              <w:rPr>
                <w:rFonts w:hint="eastAsia" w:ascii="仿宋" w:hAnsi="仿宋" w:eastAsia="仿宋" w:cs="仿宋"/>
                <w:sz w:val="28"/>
                <w:szCs w:val="28"/>
              </w:rPr>
              <w:t>分，不提供不得分。（15分）</w:t>
            </w:r>
          </w:p>
        </w:tc>
        <w:tc>
          <w:tcPr>
            <w:tcW w:w="1188" w:type="dxa"/>
            <w:vAlign w:val="center"/>
          </w:tcPr>
          <w:p>
            <w:pPr>
              <w:adjustRightInd w:val="0"/>
              <w:snapToGrid w:val="0"/>
              <w:spacing w:line="300" w:lineRule="auto"/>
              <w:jc w:val="center"/>
              <w:rPr>
                <w:rFonts w:ascii="仿宋" w:hAnsi="仿宋" w:eastAsia="仿宋" w:cs="仿宋"/>
                <w:kern w:val="0"/>
                <w:sz w:val="28"/>
                <w:szCs w:val="28"/>
              </w:rPr>
            </w:pPr>
            <w:r>
              <w:rPr>
                <w:rFonts w:hint="eastAsia" w:ascii="仿宋" w:hAnsi="仿宋" w:eastAsia="仿宋" w:cs="仿宋"/>
                <w:sz w:val="28"/>
                <w:szCs w:val="28"/>
              </w:rPr>
              <w:t>0-</w:t>
            </w:r>
            <w:r>
              <w:rPr>
                <w:rFonts w:ascii="仿宋" w:hAnsi="仿宋" w:eastAsia="仿宋" w:cs="仿宋"/>
                <w:sz w:val="28"/>
                <w:szCs w:val="28"/>
              </w:rPr>
              <w:t>15</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项目实施</w:t>
            </w:r>
          </w:p>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方案</w:t>
            </w:r>
          </w:p>
        </w:tc>
        <w:tc>
          <w:tcPr>
            <w:tcW w:w="5387" w:type="dxa"/>
            <w:vAlign w:val="center"/>
          </w:tcPr>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根据供应商针对本项目提供的项目实施方案进行综合评审，由评委小组评审：方案应包含项目组织架构、质量管理措施、风险管理措施；</w:t>
            </w:r>
          </w:p>
          <w:p>
            <w:pPr>
              <w:pStyle w:val="27"/>
              <w:numPr>
                <w:ilvl w:val="0"/>
                <w:numId w:val="2"/>
              </w:numPr>
              <w:adjustRightInd w:val="0"/>
              <w:snapToGrid w:val="0"/>
              <w:spacing w:line="300" w:lineRule="auto"/>
              <w:ind w:firstLineChars="0"/>
              <w:jc w:val="left"/>
              <w:rPr>
                <w:rFonts w:ascii="仿宋" w:hAnsi="仿宋" w:eastAsia="仿宋" w:cs="仿宋"/>
                <w:sz w:val="28"/>
                <w:szCs w:val="28"/>
              </w:rPr>
            </w:pPr>
            <w:r>
              <w:rPr>
                <w:rFonts w:hint="eastAsia" w:ascii="仿宋" w:hAnsi="仿宋" w:eastAsia="仿宋" w:cs="仿宋"/>
                <w:sz w:val="28"/>
                <w:szCs w:val="28"/>
              </w:rPr>
              <w:t>以上每项描述详尽、思路清晰、针对性强、完全符合项目需求的得</w:t>
            </w:r>
            <w:r>
              <w:rPr>
                <w:rFonts w:ascii="仿宋" w:hAnsi="仿宋" w:eastAsia="仿宋" w:cs="仿宋"/>
                <w:sz w:val="28"/>
                <w:szCs w:val="28"/>
              </w:rPr>
              <w:t>5</w:t>
            </w:r>
            <w:r>
              <w:rPr>
                <w:rFonts w:hint="eastAsia" w:ascii="仿宋" w:hAnsi="仿宋" w:eastAsia="仿宋" w:cs="仿宋"/>
                <w:sz w:val="28"/>
                <w:szCs w:val="28"/>
              </w:rPr>
              <w:t>分；</w:t>
            </w:r>
          </w:p>
          <w:p>
            <w:pPr>
              <w:pStyle w:val="27"/>
              <w:numPr>
                <w:ilvl w:val="0"/>
                <w:numId w:val="2"/>
              </w:numPr>
              <w:adjustRightInd w:val="0"/>
              <w:snapToGrid w:val="0"/>
              <w:spacing w:line="300" w:lineRule="auto"/>
              <w:ind w:firstLineChars="0"/>
              <w:jc w:val="left"/>
              <w:rPr>
                <w:rFonts w:ascii="仿宋" w:hAnsi="仿宋" w:eastAsia="仿宋" w:cs="仿宋"/>
                <w:sz w:val="28"/>
                <w:szCs w:val="28"/>
              </w:rPr>
            </w:pPr>
            <w:r>
              <w:rPr>
                <w:rFonts w:hint="eastAsia" w:ascii="仿宋" w:hAnsi="仿宋" w:eastAsia="仿宋" w:cs="仿宋"/>
                <w:sz w:val="28"/>
                <w:szCs w:val="28"/>
              </w:rPr>
              <w:t>以上每项描述比较详尽、思路清晰、针对性较强、符合项目需求的得</w:t>
            </w:r>
            <w:r>
              <w:rPr>
                <w:rFonts w:ascii="仿宋" w:hAnsi="仿宋" w:eastAsia="仿宋" w:cs="仿宋"/>
                <w:sz w:val="28"/>
                <w:szCs w:val="28"/>
              </w:rPr>
              <w:t>3</w:t>
            </w:r>
            <w:r>
              <w:rPr>
                <w:rFonts w:hint="eastAsia" w:ascii="仿宋" w:hAnsi="仿宋" w:eastAsia="仿宋" w:cs="仿宋"/>
                <w:sz w:val="28"/>
                <w:szCs w:val="28"/>
              </w:rPr>
              <w:t>分；</w:t>
            </w:r>
          </w:p>
          <w:p>
            <w:pPr>
              <w:pStyle w:val="27"/>
              <w:numPr>
                <w:ilvl w:val="0"/>
                <w:numId w:val="2"/>
              </w:numPr>
              <w:adjustRightInd w:val="0"/>
              <w:snapToGrid w:val="0"/>
              <w:spacing w:line="300" w:lineRule="auto"/>
              <w:ind w:firstLineChars="0"/>
              <w:jc w:val="left"/>
              <w:rPr>
                <w:rFonts w:ascii="仿宋" w:hAnsi="仿宋" w:eastAsia="仿宋" w:cs="仿宋"/>
                <w:sz w:val="28"/>
                <w:szCs w:val="28"/>
              </w:rPr>
            </w:pPr>
            <w:r>
              <w:rPr>
                <w:rFonts w:hint="eastAsia" w:ascii="仿宋" w:hAnsi="仿宋" w:eastAsia="仿宋" w:cs="仿宋"/>
                <w:sz w:val="28"/>
                <w:szCs w:val="28"/>
              </w:rPr>
              <w:t>以上每项描述不完整、思路不清晰、无针对性、不符合项目需求或者未提供的得0分。</w:t>
            </w:r>
          </w:p>
        </w:tc>
        <w:tc>
          <w:tcPr>
            <w:tcW w:w="1188" w:type="dxa"/>
            <w:vAlign w:val="center"/>
          </w:tcPr>
          <w:p>
            <w:pPr>
              <w:adjustRightInd w:val="0"/>
              <w:snapToGrid w:val="0"/>
              <w:spacing w:line="300" w:lineRule="auto"/>
              <w:jc w:val="center"/>
              <w:rPr>
                <w:rFonts w:ascii="仿宋" w:hAnsi="仿宋" w:eastAsia="仿宋" w:cs="仿宋"/>
                <w:sz w:val="28"/>
                <w:szCs w:val="28"/>
              </w:rPr>
            </w:pPr>
            <w:r>
              <w:rPr>
                <w:rFonts w:ascii="仿宋" w:hAnsi="仿宋" w:eastAsia="仿宋" w:cs="仿宋"/>
                <w:sz w:val="28"/>
                <w:szCs w:val="28"/>
              </w:rPr>
              <w:t>0-5</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售后服务</w:t>
            </w:r>
          </w:p>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方案</w:t>
            </w:r>
          </w:p>
        </w:tc>
        <w:tc>
          <w:tcPr>
            <w:tcW w:w="5387" w:type="dxa"/>
            <w:vAlign w:val="center"/>
          </w:tcPr>
          <w:p>
            <w:pPr>
              <w:adjustRightInd w:val="0"/>
              <w:snapToGrid w:val="0"/>
              <w:spacing w:line="300" w:lineRule="auto"/>
              <w:jc w:val="left"/>
              <w:rPr>
                <w:rFonts w:ascii="仿宋" w:hAnsi="仿宋" w:eastAsia="仿宋" w:cs="仿宋"/>
                <w:sz w:val="28"/>
                <w:szCs w:val="28"/>
              </w:rPr>
            </w:pPr>
            <w:r>
              <w:rPr>
                <w:rFonts w:ascii="仿宋" w:hAnsi="仿宋" w:eastAsia="仿宋" w:cs="仿宋"/>
                <w:sz w:val="28"/>
                <w:szCs w:val="28"/>
              </w:rPr>
              <w:t>1.</w:t>
            </w:r>
            <w:r>
              <w:rPr>
                <w:rFonts w:hint="eastAsia"/>
              </w:rPr>
              <w:t xml:space="preserve"> </w:t>
            </w:r>
            <w:r>
              <w:rPr>
                <w:rFonts w:hint="eastAsia" w:ascii="仿宋" w:hAnsi="仿宋" w:eastAsia="仿宋" w:cs="仿宋"/>
                <w:sz w:val="28"/>
                <w:szCs w:val="28"/>
              </w:rPr>
              <w:t>售后服务方案完善、内容详尽、服务全面、服务质量有保障的得5分，售后服务方案部分基本符合要求的，得3分；描述不完整、思路不清晰、无针对性、不符合项目需求或者未提供的得0分。（5分）</w:t>
            </w:r>
          </w:p>
          <w:p>
            <w:pPr>
              <w:adjustRightInd w:val="0"/>
              <w:snapToGrid w:val="0"/>
              <w:spacing w:line="300" w:lineRule="auto"/>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.系统提供1000个授权用户数，每多免费提供</w:t>
            </w:r>
            <w:r>
              <w:rPr>
                <w:rFonts w:ascii="仿宋" w:hAnsi="仿宋" w:eastAsia="仿宋" w:cs="仿宋"/>
                <w:sz w:val="28"/>
                <w:szCs w:val="28"/>
              </w:rPr>
              <w:t>10</w:t>
            </w:r>
            <w:r>
              <w:rPr>
                <w:rFonts w:hint="eastAsia" w:ascii="仿宋" w:hAnsi="仿宋" w:eastAsia="仿宋" w:cs="仿宋"/>
                <w:sz w:val="28"/>
                <w:szCs w:val="28"/>
              </w:rPr>
              <w:t>个用户数额外得0</w:t>
            </w:r>
            <w:r>
              <w:rPr>
                <w:rFonts w:ascii="仿宋" w:hAnsi="仿宋" w:eastAsia="仿宋" w:cs="仿宋"/>
                <w:sz w:val="28"/>
                <w:szCs w:val="28"/>
              </w:rPr>
              <w:t>.5</w:t>
            </w:r>
            <w:r>
              <w:rPr>
                <w:rFonts w:hint="eastAsia" w:ascii="仿宋" w:hAnsi="仿宋" w:eastAsia="仿宋" w:cs="仿宋"/>
                <w:sz w:val="28"/>
                <w:szCs w:val="28"/>
              </w:rPr>
              <w:t>分，最多额外得</w:t>
            </w:r>
            <w:r>
              <w:rPr>
                <w:rFonts w:ascii="仿宋" w:hAnsi="仿宋" w:eastAsia="仿宋" w:cs="仿宋"/>
                <w:sz w:val="28"/>
                <w:szCs w:val="28"/>
              </w:rPr>
              <w:t>5</w:t>
            </w:r>
            <w:r>
              <w:rPr>
                <w:rFonts w:hint="eastAsia" w:ascii="仿宋" w:hAnsi="仿宋" w:eastAsia="仿宋" w:cs="仿宋"/>
                <w:sz w:val="28"/>
                <w:szCs w:val="28"/>
              </w:rPr>
              <w:t>分。（</w:t>
            </w:r>
            <w:r>
              <w:rPr>
                <w:rFonts w:ascii="仿宋" w:hAnsi="仿宋" w:eastAsia="仿宋" w:cs="仿宋"/>
                <w:sz w:val="28"/>
                <w:szCs w:val="28"/>
              </w:rPr>
              <w:t>5</w:t>
            </w:r>
            <w:r>
              <w:rPr>
                <w:rFonts w:hint="eastAsia" w:ascii="仿宋" w:hAnsi="仿宋" w:eastAsia="仿宋" w:cs="仿宋"/>
                <w:sz w:val="28"/>
                <w:szCs w:val="28"/>
              </w:rPr>
              <w:t>分）</w:t>
            </w:r>
          </w:p>
        </w:tc>
        <w:tc>
          <w:tcPr>
            <w:tcW w:w="1188"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0</w:t>
            </w:r>
            <w:r>
              <w:rPr>
                <w:rFonts w:ascii="仿宋" w:hAnsi="仿宋" w:eastAsia="仿宋" w:cs="仿宋"/>
                <w:sz w:val="28"/>
                <w:szCs w:val="28"/>
              </w:rPr>
              <w:t>-10</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培训方案</w:t>
            </w:r>
          </w:p>
        </w:tc>
        <w:tc>
          <w:tcPr>
            <w:tcW w:w="5387" w:type="dxa"/>
            <w:vAlign w:val="center"/>
          </w:tcPr>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 xml:space="preserve">根据供应商提供的培训方案情况，对系统使用人员的培训计划、方式、目标，由评标委员会进行综合评审： </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 xml:space="preserve">1．培训方案全面、完全符合标文件要求和招标单位实际情况、可行性和有效性很好，得5分； </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 xml:space="preserve">2．培训方案较全面、基本符合标文件要求和招标单位实际需要、可行性和有效性较好，得3分； </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 xml:space="preserve">3．培训方案一般、不符合标文件要求和招标单位实际需要、可行性和有效性较差，得1分。 </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4．未提供相关内容不得分。</w:t>
            </w:r>
          </w:p>
        </w:tc>
        <w:tc>
          <w:tcPr>
            <w:tcW w:w="1188"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0</w:t>
            </w:r>
            <w:r>
              <w:rPr>
                <w:rFonts w:ascii="仿宋" w:hAnsi="仿宋" w:eastAsia="仿宋" w:cs="仿宋"/>
                <w:sz w:val="28"/>
                <w:szCs w:val="28"/>
              </w:rPr>
              <w:t>-5</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0"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供应商业绩</w:t>
            </w:r>
          </w:p>
        </w:tc>
        <w:tc>
          <w:tcPr>
            <w:tcW w:w="5387" w:type="dxa"/>
          </w:tcPr>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供应商提供自2019 年1 月1 日以来（以合同签订时间为准），投标人具有单项合同金额不低于</w:t>
            </w:r>
            <w:r>
              <w:rPr>
                <w:rFonts w:ascii="仿宋" w:hAnsi="仿宋" w:eastAsia="仿宋" w:cs="仿宋"/>
                <w:kern w:val="0"/>
                <w:sz w:val="28"/>
                <w:szCs w:val="28"/>
              </w:rPr>
              <w:t>2</w:t>
            </w:r>
            <w:r>
              <w:rPr>
                <w:rFonts w:hint="eastAsia" w:ascii="仿宋" w:hAnsi="仿宋" w:eastAsia="仿宋" w:cs="仿宋"/>
                <w:kern w:val="0"/>
                <w:sz w:val="28"/>
                <w:szCs w:val="28"/>
              </w:rPr>
              <w:t>0万元的软件开发（或软件服务）业绩或具有单项合同金额不低于</w:t>
            </w:r>
            <w:r>
              <w:rPr>
                <w:rFonts w:ascii="仿宋" w:hAnsi="仿宋" w:eastAsia="仿宋" w:cs="仿宋"/>
                <w:kern w:val="0"/>
                <w:sz w:val="28"/>
                <w:szCs w:val="28"/>
              </w:rPr>
              <w:t>2</w:t>
            </w:r>
            <w:r>
              <w:rPr>
                <w:rFonts w:hint="eastAsia" w:ascii="仿宋" w:hAnsi="仿宋" w:eastAsia="仿宋" w:cs="仿宋"/>
                <w:kern w:val="0"/>
                <w:sz w:val="28"/>
                <w:szCs w:val="28"/>
              </w:rPr>
              <w:t>0万元的系统开发（或系统服务）业绩，每提供1个得3分，最高得12分。</w:t>
            </w:r>
          </w:p>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注：提供业绩合同复印件；如供应商提供的合同复印件无法体现签订时间、项目内容等关键信息的，还须提供业主方（合同甲方）出具的有效证明材料，否则不予认可。</w:t>
            </w:r>
          </w:p>
        </w:tc>
        <w:tc>
          <w:tcPr>
            <w:tcW w:w="1188" w:type="dxa"/>
            <w:vAlign w:val="center"/>
          </w:tcPr>
          <w:p>
            <w:pPr>
              <w:adjustRightInd w:val="0"/>
              <w:snapToGrid w:val="0"/>
              <w:spacing w:line="300" w:lineRule="auto"/>
              <w:jc w:val="center"/>
              <w:rPr>
                <w:rFonts w:ascii="仿宋" w:hAnsi="仿宋" w:eastAsia="仿宋" w:cs="仿宋"/>
                <w:kern w:val="0"/>
                <w:sz w:val="28"/>
                <w:szCs w:val="28"/>
              </w:rPr>
            </w:pPr>
            <w:r>
              <w:rPr>
                <w:rFonts w:hint="eastAsia" w:ascii="仿宋" w:hAnsi="仿宋" w:eastAsia="仿宋" w:cs="仿宋"/>
                <w:kern w:val="0"/>
                <w:sz w:val="28"/>
                <w:szCs w:val="28"/>
              </w:rPr>
              <w:t>0-12分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供应商资质</w:t>
            </w:r>
          </w:p>
        </w:tc>
        <w:tc>
          <w:tcPr>
            <w:tcW w:w="5387" w:type="dxa"/>
            <w:vAlign w:val="center"/>
          </w:tcPr>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1.供应商具有ISO14001环境管理体系证书、ISO27001信息安全管理体系认证证书、ISO45001职业健康安全管理体系证书、ISO9001质量管理体系认证证书，每提供一个得2分，全都提供得8分；</w:t>
            </w:r>
          </w:p>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2.供应商具有高新技术企业证书、市级及以上大数据企业证书的，每提供一个得</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分，全都满足得3分；</w:t>
            </w:r>
          </w:p>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3.每具有1个计算机软件著作权登记证书的得1分，满分7分。</w:t>
            </w:r>
          </w:p>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备注：提供相关证书复印件并加盖公章。</w:t>
            </w:r>
          </w:p>
        </w:tc>
        <w:tc>
          <w:tcPr>
            <w:tcW w:w="1188" w:type="dxa"/>
            <w:vAlign w:val="center"/>
          </w:tcPr>
          <w:p>
            <w:pPr>
              <w:adjustRightInd w:val="0"/>
              <w:snapToGrid w:val="0"/>
              <w:spacing w:line="300" w:lineRule="auto"/>
              <w:jc w:val="center"/>
              <w:rPr>
                <w:rFonts w:ascii="仿宋" w:hAnsi="仿宋" w:eastAsia="仿宋" w:cs="仿宋"/>
                <w:kern w:val="0"/>
                <w:sz w:val="28"/>
                <w:szCs w:val="28"/>
              </w:rPr>
            </w:pPr>
            <w:r>
              <w:rPr>
                <w:rFonts w:hint="eastAsia" w:ascii="仿宋" w:hAnsi="仿宋" w:eastAsia="仿宋" w:cs="仿宋"/>
                <w:kern w:val="0"/>
                <w:sz w:val="28"/>
                <w:szCs w:val="28"/>
              </w:rPr>
              <w:t>0-</w:t>
            </w:r>
            <w:r>
              <w:rPr>
                <w:rFonts w:ascii="仿宋" w:hAnsi="仿宋" w:eastAsia="仿宋" w:cs="仿宋"/>
                <w:kern w:val="0"/>
                <w:sz w:val="28"/>
                <w:szCs w:val="28"/>
              </w:rPr>
              <w:t>18</w:t>
            </w:r>
            <w:r>
              <w:rPr>
                <w:rFonts w:hint="eastAsia" w:ascii="仿宋" w:hAnsi="仿宋" w:eastAsia="仿宋" w:cs="仿宋"/>
                <w:ker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人员配备</w:t>
            </w:r>
          </w:p>
        </w:tc>
        <w:tc>
          <w:tcPr>
            <w:tcW w:w="5387" w:type="dxa"/>
            <w:vAlign w:val="center"/>
          </w:tcPr>
          <w:p>
            <w:pPr>
              <w:numPr>
                <w:ilvl w:val="0"/>
                <w:numId w:val="3"/>
              </w:num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拟任项目经理需具有IT服务项目经理证书，得1分；</w:t>
            </w:r>
          </w:p>
          <w:p>
            <w:pPr>
              <w:numPr>
                <w:ilvl w:val="0"/>
                <w:numId w:val="3"/>
              </w:num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参与本项目的实施交付团队人数</w:t>
            </w:r>
            <w:r>
              <w:rPr>
                <w:rFonts w:ascii="仿宋" w:hAnsi="仿宋" w:eastAsia="仿宋" w:cs="仿宋"/>
                <w:kern w:val="0"/>
                <w:sz w:val="28"/>
                <w:szCs w:val="28"/>
              </w:rPr>
              <w:t>10</w:t>
            </w:r>
            <w:r>
              <w:rPr>
                <w:rFonts w:hint="eastAsia" w:ascii="仿宋" w:hAnsi="仿宋" w:eastAsia="仿宋" w:cs="仿宋"/>
                <w:kern w:val="0"/>
                <w:sz w:val="28"/>
                <w:szCs w:val="28"/>
              </w:rPr>
              <w:t>人以上得3分；</w:t>
            </w:r>
            <w:r>
              <w:rPr>
                <w:rFonts w:ascii="仿宋" w:hAnsi="仿宋" w:eastAsia="仿宋" w:cs="仿宋"/>
                <w:kern w:val="0"/>
                <w:sz w:val="28"/>
                <w:szCs w:val="28"/>
              </w:rPr>
              <w:t>5</w:t>
            </w:r>
            <w:r>
              <w:rPr>
                <w:rFonts w:hint="eastAsia" w:ascii="仿宋" w:hAnsi="仿宋" w:eastAsia="仿宋" w:cs="仿宋"/>
                <w:kern w:val="0"/>
                <w:sz w:val="28"/>
                <w:szCs w:val="28"/>
              </w:rPr>
              <w:t>人-</w:t>
            </w:r>
            <w:r>
              <w:rPr>
                <w:rFonts w:ascii="仿宋" w:hAnsi="仿宋" w:eastAsia="仿宋" w:cs="仿宋"/>
                <w:kern w:val="0"/>
                <w:sz w:val="28"/>
                <w:szCs w:val="28"/>
              </w:rPr>
              <w:t>10</w:t>
            </w:r>
            <w:r>
              <w:rPr>
                <w:rFonts w:hint="eastAsia" w:ascii="仿宋" w:hAnsi="仿宋" w:eastAsia="仿宋" w:cs="仿宋"/>
                <w:kern w:val="0"/>
                <w:sz w:val="28"/>
                <w:szCs w:val="28"/>
              </w:rPr>
              <w:t>人得</w:t>
            </w:r>
            <w:r>
              <w:rPr>
                <w:rFonts w:ascii="仿宋" w:hAnsi="仿宋" w:eastAsia="仿宋" w:cs="仿宋"/>
                <w:kern w:val="0"/>
                <w:sz w:val="28"/>
                <w:szCs w:val="28"/>
              </w:rPr>
              <w:t>2</w:t>
            </w:r>
            <w:r>
              <w:rPr>
                <w:rFonts w:hint="eastAsia" w:ascii="仿宋" w:hAnsi="仿宋" w:eastAsia="仿宋" w:cs="仿宋"/>
                <w:kern w:val="0"/>
                <w:sz w:val="28"/>
                <w:szCs w:val="28"/>
              </w:rPr>
              <w:t>分；少于5人不得分。</w:t>
            </w:r>
          </w:p>
          <w:p>
            <w:pPr>
              <w:adjustRightInd w:val="0"/>
              <w:snapToGrid w:val="0"/>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注：提供自招标公告发布之日起前三个月任意1个月人员社保缴纳证明复印件并加盖投标供应商公章。</w:t>
            </w:r>
            <w:r>
              <w:rPr>
                <w:rFonts w:ascii="仿宋" w:hAnsi="仿宋" w:eastAsia="仿宋" w:cs="仿宋"/>
                <w:kern w:val="0"/>
                <w:sz w:val="28"/>
                <w:szCs w:val="28"/>
              </w:rPr>
              <w:t xml:space="preserve"> </w:t>
            </w:r>
          </w:p>
        </w:tc>
        <w:tc>
          <w:tcPr>
            <w:tcW w:w="1188" w:type="dxa"/>
            <w:vAlign w:val="center"/>
          </w:tcPr>
          <w:p>
            <w:pPr>
              <w:adjustRightInd w:val="0"/>
              <w:snapToGrid w:val="0"/>
              <w:spacing w:line="300" w:lineRule="auto"/>
              <w:jc w:val="center"/>
              <w:rPr>
                <w:rFonts w:ascii="仿宋" w:hAnsi="仿宋" w:eastAsia="仿宋" w:cs="仿宋"/>
                <w:kern w:val="0"/>
                <w:sz w:val="28"/>
                <w:szCs w:val="28"/>
              </w:rPr>
            </w:pPr>
            <w:r>
              <w:rPr>
                <w:rFonts w:hint="eastAsia" w:ascii="仿宋" w:hAnsi="仿宋" w:eastAsia="仿宋" w:cs="仿宋"/>
                <w:sz w:val="28"/>
                <w:szCs w:val="28"/>
              </w:rPr>
              <w:t>0-</w:t>
            </w:r>
            <w:r>
              <w:rPr>
                <w:rFonts w:ascii="仿宋" w:hAnsi="仿宋" w:eastAsia="仿宋" w:cs="仿宋"/>
                <w:sz w:val="28"/>
                <w:szCs w:val="28"/>
              </w:rPr>
              <w:t>4</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系统功能</w:t>
            </w:r>
          </w:p>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证明</w:t>
            </w:r>
          </w:p>
        </w:tc>
        <w:tc>
          <w:tcPr>
            <w:tcW w:w="5387" w:type="dxa"/>
            <w:vAlign w:val="center"/>
          </w:tcPr>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1.提供统一门户首页功能截图，得3分；</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2.提供流程管理功能截图，得3分；</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3.提供公文管理功能截图，得3分；</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4.提供日志管理功能截图，得3分；</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5.提供人事管理功能截图，得3分；</w:t>
            </w:r>
          </w:p>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6.提供行政管理功能截图，得3分；</w:t>
            </w:r>
          </w:p>
          <w:p>
            <w:pPr>
              <w:adjustRightInd w:val="0"/>
              <w:snapToGrid w:val="0"/>
              <w:spacing w:line="300" w:lineRule="auto"/>
              <w:jc w:val="left"/>
              <w:rPr>
                <w:rFonts w:ascii="仿宋" w:hAnsi="仿宋" w:eastAsia="仿宋" w:cs="仿宋"/>
                <w:sz w:val="28"/>
                <w:szCs w:val="28"/>
                <w:highlight w:val="yellow"/>
              </w:rPr>
            </w:pPr>
            <w:r>
              <w:rPr>
                <w:rFonts w:hint="eastAsia" w:ascii="仿宋" w:hAnsi="仿宋" w:eastAsia="仿宋" w:cs="仿宋"/>
                <w:sz w:val="28"/>
                <w:szCs w:val="28"/>
              </w:rPr>
              <w:t>7.提供纪检监察管理功能截图，得3分；</w:t>
            </w:r>
          </w:p>
        </w:tc>
        <w:tc>
          <w:tcPr>
            <w:tcW w:w="1188" w:type="dxa"/>
            <w:vAlign w:val="center"/>
          </w:tcPr>
          <w:p>
            <w:pPr>
              <w:pStyle w:val="6"/>
              <w:ind w:firstLine="0" w:firstLineChars="0"/>
              <w:jc w:val="center"/>
              <w:rPr>
                <w:rFonts w:ascii="仿宋" w:hAnsi="仿宋" w:eastAsia="仿宋" w:cs="仿宋"/>
                <w:sz w:val="28"/>
                <w:szCs w:val="28"/>
              </w:rPr>
            </w:pPr>
            <w:r>
              <w:rPr>
                <w:rFonts w:hint="eastAsia" w:ascii="仿宋" w:hAnsi="仿宋" w:eastAsia="仿宋" w:cs="仿宋"/>
                <w:sz w:val="28"/>
                <w:szCs w:val="28"/>
              </w:rPr>
              <w:t>0</w:t>
            </w:r>
            <w:r>
              <w:rPr>
                <w:rFonts w:ascii="仿宋" w:hAnsi="仿宋" w:eastAsia="仿宋" w:cs="仿宋"/>
                <w:sz w:val="28"/>
                <w:szCs w:val="28"/>
              </w:rPr>
              <w:t>-21</w:t>
            </w:r>
            <w:r>
              <w:rPr>
                <w:rFonts w:hint="eastAsia" w:ascii="仿宋" w:hAnsi="仿宋" w:eastAsia="仿宋" w:cs="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价格分</w:t>
            </w:r>
          </w:p>
        </w:tc>
        <w:tc>
          <w:tcPr>
            <w:tcW w:w="5387" w:type="dxa"/>
          </w:tcPr>
          <w:p>
            <w:pPr>
              <w:adjustRightInd w:val="0"/>
              <w:snapToGrid w:val="0"/>
              <w:spacing w:line="300" w:lineRule="auto"/>
              <w:jc w:val="left"/>
              <w:rPr>
                <w:rFonts w:ascii="仿宋" w:hAnsi="仿宋" w:eastAsia="仿宋" w:cs="仿宋"/>
                <w:sz w:val="28"/>
                <w:szCs w:val="28"/>
              </w:rPr>
            </w:pPr>
            <w:r>
              <w:rPr>
                <w:rFonts w:hint="eastAsia" w:ascii="仿宋" w:hAnsi="仿宋" w:eastAsia="仿宋" w:cs="仿宋"/>
                <w:sz w:val="28"/>
                <w:szCs w:val="28"/>
              </w:rPr>
              <w:t>价格分统一采用低价优先法，即满足询比采购文件要求且价格最低的最终报价为评标基准价，其价格分为满分10分。其他供应商的价格分统一按照下列公式计算：报价得分＝（评标基准价/最终报价）×10％×100。</w:t>
            </w:r>
          </w:p>
        </w:tc>
        <w:tc>
          <w:tcPr>
            <w:tcW w:w="1188" w:type="dxa"/>
            <w:vAlign w:val="center"/>
          </w:tcPr>
          <w:p>
            <w:pPr>
              <w:adjustRightInd w:val="0"/>
              <w:snapToGrid w:val="0"/>
              <w:spacing w:line="300" w:lineRule="auto"/>
              <w:jc w:val="center"/>
              <w:rPr>
                <w:rFonts w:ascii="仿宋" w:hAnsi="仿宋" w:eastAsia="仿宋" w:cs="仿宋"/>
                <w:sz w:val="28"/>
                <w:szCs w:val="28"/>
              </w:rPr>
            </w:pPr>
            <w:r>
              <w:rPr>
                <w:rFonts w:hint="eastAsia" w:ascii="仿宋" w:hAnsi="仿宋" w:eastAsia="仿宋" w:cs="仿宋"/>
                <w:sz w:val="28"/>
                <w:szCs w:val="28"/>
              </w:rPr>
              <w:t>0-10分</w:t>
            </w:r>
          </w:p>
        </w:tc>
      </w:tr>
    </w:tbl>
    <w:p>
      <w:pPr>
        <w:widowControl/>
        <w:shd w:val="clear" w:color="auto" w:fill="FFFFFF"/>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（三）评审结果</w:t>
      </w:r>
    </w:p>
    <w:p>
      <w:p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1、成交候选供应商的确定</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a、所有分值均保留至小数点后两位，小数点后第三位四舍五入。</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b、评审由全体评审小组成员综合评议并独立打分，报价评审由项目组统计，全体评审小组成员核实无误后签字确认。</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c、供应商评审得分为全体评审小组成员打分的算术平均值。</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d、评审小组通过综合打分，评定出供应商的排名顺序(从高分到低分)。推荐排名第一的供应商作为成交候选供应商。</w:t>
      </w:r>
    </w:p>
    <w:p>
      <w:p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2、成交供应商的确定</w:t>
      </w:r>
    </w:p>
    <w:p>
      <w:pPr>
        <w:spacing w:line="560" w:lineRule="exact"/>
        <w:ind w:firstLine="560" w:firstLineChars="200"/>
        <w:rPr>
          <w:rFonts w:ascii="仿宋_GB2312" w:hAnsi="仿宋_GB2312" w:eastAsia="仿宋_GB2312" w:cs="仿宋_GB2312"/>
          <w:kern w:val="0"/>
          <w:sz w:val="28"/>
          <w:szCs w:val="28"/>
        </w:rPr>
      </w:pPr>
      <w:bookmarkStart w:id="0" w:name="_Toc209328440"/>
      <w:r>
        <w:rPr>
          <w:rFonts w:hint="eastAsia" w:ascii="仿宋_GB2312" w:hAnsi="仿宋_GB2312" w:eastAsia="仿宋_GB2312" w:cs="仿宋_GB2312"/>
          <w:kern w:val="0"/>
          <w:sz w:val="28"/>
          <w:szCs w:val="28"/>
        </w:rPr>
        <w:t>a、根据评审小组推荐的成交候选供应商名单，采购人依法确定成交供应商。</w:t>
      </w:r>
      <w:bookmarkEnd w:id="0"/>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b、本项目不承诺最低价成交，也不解释供应商不成交的原因。</w:t>
      </w:r>
    </w:p>
    <w:p>
      <w:pPr>
        <w:pStyle w:val="25"/>
        <w:spacing w:line="560" w:lineRule="exact"/>
        <w:ind w:left="0" w:firstLine="560" w:firstLineChars="200"/>
        <w:rPr>
          <w:rFonts w:ascii="仿宋" w:hAnsi="仿宋" w:eastAsia="仿宋" w:cs="仿宋"/>
          <w:sz w:val="28"/>
          <w:szCs w:val="28"/>
        </w:rPr>
      </w:pPr>
      <w:r>
        <w:rPr>
          <w:rFonts w:hint="eastAsia" w:ascii="仿宋_GB2312" w:hAnsi="仿宋_GB2312" w:eastAsia="仿宋_GB2312" w:cs="仿宋_GB2312"/>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3"/>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六、其他说明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1、响应文件递交截止时间、地点：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供应商须在2022年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星期三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0前（以邮寄签收或现场送达时间为准）将所有纸质响应材料装订（胶状，一正两副）密封后邮寄或送至合肥市数智城市投资运营有限公司，逾期响应无效，采购人不予接</w:t>
      </w:r>
      <w:bookmarkStart w:id="5" w:name="_GoBack"/>
      <w:bookmarkEnd w:id="5"/>
      <w:r>
        <w:rPr>
          <w:rFonts w:hint="eastAsia" w:ascii="仿宋_GB2312" w:hAnsi="仿宋_GB2312" w:eastAsia="仿宋_GB2312" w:cs="仿宋_GB2312"/>
          <w:sz w:val="32"/>
          <w:szCs w:val="32"/>
        </w:rPr>
        <w:t>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联系人及联系方式：王工  0551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66692260</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地址：安徽省合肥市蜀山区湖光路1201号自主创新产业基地三期（南区）B座14层。</w:t>
      </w:r>
    </w:p>
    <w:p>
      <w:pPr>
        <w:pStyle w:val="25"/>
        <w:numPr>
          <w:ilvl w:val="0"/>
          <w:numId w:val="0"/>
        </w:numPr>
        <w:spacing w:line="560" w:lineRule="exact"/>
        <w:ind w:left="64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如有疑问，可于工作日9:00-12:00、14:00-17:30联系本项目联系人。</w:t>
      </w:r>
    </w:p>
    <w:p>
      <w:pPr>
        <w:pStyle w:val="2"/>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七、响应文件资料要求</w:t>
      </w:r>
    </w:p>
    <w:tbl>
      <w:tblPr>
        <w:tblStyle w:val="17"/>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法定代表人身份证明、法定代表人授权书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pStyle w:val="35"/>
        <w:ind w:firstLine="480"/>
        <w:jc w:val="left"/>
      </w:pPr>
    </w:p>
    <w:p>
      <w:pPr>
        <w:widowControl/>
        <w:spacing w:line="360" w:lineRule="auto"/>
        <w:ind w:firstLine="420" w:firstLineChars="200"/>
        <w:jc w:val="left"/>
        <w:rPr>
          <w:rFonts w:ascii="仿宋_GB2312" w:hAnsi="仿宋_GB2312" w:eastAsia="仿宋_GB2312" w:cs="仿宋_GB2312"/>
          <w:b/>
          <w:bCs/>
          <w:sz w:val="32"/>
          <w:szCs w:val="32"/>
        </w:rPr>
      </w:pPr>
      <w:r>
        <w:rPr>
          <w:rFonts w:ascii="仿宋_GB2312" w:hAnsi="仿宋_GB2312" w:eastAsia="仿宋_GB2312" w:cs="仿宋_GB2312"/>
        </w:rPr>
        <w:br w:type="page"/>
      </w:r>
    </w:p>
    <w:p>
      <w:pPr>
        <w:spacing w:line="360" w:lineRule="auto"/>
        <w:jc w:val="center"/>
        <w:outlineLvl w:val="0"/>
        <w:rPr>
          <w:rFonts w:asciiTheme="minorEastAsia" w:hAnsiTheme="minorEastAsia" w:cstheme="minorEastAsia"/>
          <w:b/>
          <w:bCs/>
          <w:sz w:val="44"/>
          <w:szCs w:val="44"/>
        </w:rPr>
      </w:pPr>
    </w:p>
    <w:p>
      <w:pPr>
        <w:spacing w:line="360" w:lineRule="auto"/>
        <w:jc w:val="center"/>
        <w:outlineLvl w:val="0"/>
        <w:rPr>
          <w:rFonts w:asciiTheme="minorEastAsia" w:hAnsiTheme="minorEastAsia" w:cstheme="minorEastAsia"/>
          <w:b/>
          <w:bCs/>
          <w:sz w:val="44"/>
          <w:szCs w:val="44"/>
        </w:rPr>
      </w:pPr>
      <w:r>
        <w:rPr>
          <w:rFonts w:hint="eastAsia" w:asciiTheme="minorEastAsia" w:hAnsiTheme="minorEastAsia" w:cstheme="minorEastAsia"/>
          <w:b/>
          <w:bCs/>
          <w:sz w:val="44"/>
          <w:szCs w:val="44"/>
        </w:rPr>
        <w:t>合肥数投协同办公系统软件及配套</w:t>
      </w:r>
    </w:p>
    <w:p>
      <w:pPr>
        <w:spacing w:line="360" w:lineRule="auto"/>
        <w:jc w:val="center"/>
        <w:outlineLvl w:val="0"/>
        <w:rPr>
          <w:rFonts w:ascii="宋体" w:hAnsi="宋体" w:eastAsia="宋体" w:cs="宋体"/>
          <w:b/>
          <w:bCs/>
          <w:color w:val="000000"/>
          <w:sz w:val="32"/>
          <w:szCs w:val="32"/>
        </w:rPr>
      </w:pPr>
      <w:r>
        <w:rPr>
          <w:rFonts w:hint="eastAsia" w:asciiTheme="minorEastAsia" w:hAnsiTheme="minorEastAsia" w:cstheme="minorEastAsia"/>
          <w:b/>
          <w:bCs/>
          <w:sz w:val="44"/>
          <w:szCs w:val="44"/>
        </w:rPr>
        <w:t>服务采购</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36"/>
        <w:tabs>
          <w:tab w:val="left" w:pos="826"/>
          <w:tab w:val="left" w:pos="2030"/>
          <w:tab w:val="left" w:pos="3235"/>
        </w:tabs>
        <w:spacing w:line="360" w:lineRule="auto"/>
        <w:ind w:firstLine="2560" w:firstLineChars="800"/>
        <w:outlineLvl w:val="0"/>
        <w:rPr>
          <w:color w:val="000000"/>
          <w:sz w:val="32"/>
          <w:szCs w:val="32"/>
          <w:lang w:eastAsia="zh-CN"/>
        </w:rPr>
      </w:pPr>
      <w:bookmarkStart w:id="2" w:name="_Toc3"/>
    </w:p>
    <w:p>
      <w:pPr>
        <w:pStyle w:val="36"/>
        <w:tabs>
          <w:tab w:val="left" w:pos="826"/>
          <w:tab w:val="left" w:pos="2030"/>
          <w:tab w:val="left" w:pos="3235"/>
        </w:tabs>
        <w:spacing w:line="360" w:lineRule="auto"/>
        <w:ind w:firstLine="1920" w:firstLineChars="6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jc w:val="center"/>
        <w:rPr>
          <w:rFonts w:ascii="仿宋_GB2312" w:hAnsi="仿宋_GB2312" w:eastAsia="仿宋_GB2312" w:cs="仿宋_GB2312"/>
        </w:rPr>
      </w:pPr>
      <w:bookmarkStart w:id="3"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rPr>
        <w:br w:type="page"/>
      </w:r>
    </w:p>
    <w:p>
      <w:pPr>
        <w:pStyle w:val="4"/>
        <w:spacing w:before="0" w:after="0" w:line="360" w:lineRule="auto"/>
        <w:ind w:firstLine="482" w:firstLineChars="200"/>
        <w:jc w:val="left"/>
        <w:rPr>
          <w:rFonts w:ascii="仿宋_GB2312" w:hAnsi="仿宋_GB2312" w:eastAsia="仿宋_GB2312" w:cs="仿宋_GB2312"/>
        </w:rPr>
      </w:pPr>
      <w:r>
        <w:rPr>
          <w:rFonts w:hint="eastAsia" w:ascii="仿宋_GB2312" w:hAnsi="微软雅黑" w:eastAsia="仿宋_GB2312" w:cs="宋体"/>
          <w:kern w:val="0"/>
          <w:sz w:val="24"/>
          <w:szCs w:val="24"/>
        </w:rPr>
        <w:t>附件1</w:t>
      </w:r>
    </w:p>
    <w:p>
      <w:pPr>
        <w:spacing w:line="360" w:lineRule="auto"/>
        <w:ind w:firstLine="482" w:firstLineChars="200"/>
        <w:jc w:val="center"/>
        <w:rPr>
          <w:rFonts w:ascii="宋体" w:hAnsi="宋体"/>
          <w:b/>
          <w:sz w:val="24"/>
          <w:szCs w:val="28"/>
        </w:rPr>
      </w:pPr>
      <w:r>
        <w:rPr>
          <w:rFonts w:hint="eastAsia" w:ascii="宋体" w:hAnsi="宋体"/>
          <w:b/>
          <w:sz w:val="24"/>
          <w:szCs w:val="28"/>
        </w:rPr>
        <w:t>报价表</w:t>
      </w:r>
    </w:p>
    <w:p>
      <w:pPr>
        <w:snapToGrid w:val="0"/>
        <w:spacing w:line="360" w:lineRule="auto"/>
        <w:ind w:firstLine="482" w:firstLineChars="200"/>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7"/>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ind w:firstLine="482" w:firstLineChars="20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auto"/>
              <w:ind w:firstLine="480" w:firstLineChars="200"/>
              <w:jc w:val="left"/>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ind w:firstLine="482" w:firstLineChars="200"/>
              <w:jc w:val="left"/>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left"/>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ind w:firstLine="480" w:firstLineChars="200"/>
              <w:jc w:val="left"/>
              <w:rPr>
                <w:rFonts w:ascii="宋体" w:hAnsi="宋体"/>
                <w:sz w:val="24"/>
                <w:szCs w:val="28"/>
              </w:rPr>
            </w:pPr>
          </w:p>
          <w:p>
            <w:pPr>
              <w:snapToGrid w:val="0"/>
              <w:spacing w:line="360" w:lineRule="auto"/>
              <w:rPr>
                <w:rFonts w:ascii="宋体" w:hAnsi="宋体" w:eastAsia="宋体" w:cs="宋体"/>
                <w:bCs/>
                <w:sz w:val="24"/>
                <w:u w:val="single"/>
              </w:rPr>
            </w:pPr>
            <w:r>
              <w:rPr>
                <w:rFonts w:hint="eastAsia" w:ascii="宋体" w:hAnsi="宋体" w:eastAsia="宋体" w:cs="宋体"/>
                <w:bCs/>
                <w:sz w:val="24"/>
              </w:rPr>
              <w:t>人民币大写：</w:t>
            </w:r>
            <w:r>
              <w:rPr>
                <w:rFonts w:hint="eastAsia" w:ascii="宋体" w:hAnsi="宋体" w:eastAsia="宋体" w:cs="宋体"/>
                <w:bCs/>
                <w:sz w:val="24"/>
                <w:u w:val="single"/>
              </w:rPr>
              <w:t xml:space="preserve">                  </w:t>
            </w:r>
          </w:p>
          <w:p>
            <w:pPr>
              <w:snapToGrid w:val="0"/>
              <w:spacing w:line="360" w:lineRule="auto"/>
              <w:ind w:firstLine="482" w:firstLineChars="200"/>
              <w:jc w:val="left"/>
              <w:rPr>
                <w:rFonts w:ascii="宋体" w:hAnsi="宋体"/>
                <w:b/>
                <w:sz w:val="24"/>
              </w:rPr>
            </w:pPr>
            <w:r>
              <w:rPr>
                <w:rFonts w:hint="eastAsia" w:ascii="宋体" w:hAnsi="宋体" w:eastAsia="宋体" w:cs="宋体"/>
                <w:b/>
                <w:sz w:val="24"/>
              </w:rPr>
              <w:t xml:space="preserve">  </w:t>
            </w:r>
            <w:r>
              <w:rPr>
                <w:rFonts w:hint="eastAsia" w:ascii="宋体" w:hAnsi="宋体" w:eastAsia="宋体" w:cs="宋体"/>
                <w:bCs/>
                <w:sz w:val="24"/>
              </w:rPr>
              <w:t>小写：</w:t>
            </w:r>
            <w:r>
              <w:rPr>
                <w:rFonts w:hint="eastAsia" w:ascii="宋体" w:hAnsi="宋体" w:eastAsia="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ind w:firstLine="482" w:firstLineChars="200"/>
              <w:jc w:val="left"/>
              <w:rPr>
                <w:rFonts w:ascii="宋体" w:hAnsi="宋体"/>
                <w:b/>
                <w:sz w:val="24"/>
              </w:rPr>
            </w:pPr>
            <w:r>
              <w:rPr>
                <w:rFonts w:hint="eastAsia" w:ascii="宋体" w:hAnsi="宋体"/>
                <w:b/>
                <w:sz w:val="24"/>
              </w:rPr>
              <w:t>备注说明</w:t>
            </w:r>
          </w:p>
        </w:tc>
        <w:tc>
          <w:tcPr>
            <w:tcW w:w="5746" w:type="dxa"/>
          </w:tcPr>
          <w:p>
            <w:pPr>
              <w:spacing w:line="360" w:lineRule="auto"/>
              <w:ind w:firstLine="482" w:firstLineChars="200"/>
              <w:jc w:val="left"/>
              <w:rPr>
                <w:rFonts w:ascii="宋体" w:hAnsi="宋体"/>
                <w:b/>
                <w:sz w:val="24"/>
              </w:rPr>
            </w:pPr>
          </w:p>
        </w:tc>
      </w:tr>
    </w:tbl>
    <w:p>
      <w:pPr>
        <w:snapToGrid w:val="0"/>
        <w:spacing w:line="360" w:lineRule="auto"/>
        <w:ind w:firstLine="482" w:firstLineChars="200"/>
        <w:jc w:val="left"/>
        <w:rPr>
          <w:rFonts w:ascii="宋体" w:hAnsi="宋体"/>
          <w:b/>
          <w:sz w:val="24"/>
        </w:rPr>
      </w:pPr>
    </w:p>
    <w:p>
      <w:pPr>
        <w:snapToGrid w:val="0"/>
        <w:spacing w:line="360" w:lineRule="auto"/>
        <w:ind w:firstLine="482" w:firstLineChars="200"/>
        <w:jc w:val="left"/>
        <w:rPr>
          <w:rFonts w:ascii="宋体" w:hAnsi="宋体"/>
          <w:b/>
          <w:sz w:val="24"/>
        </w:rPr>
      </w:pPr>
      <w:r>
        <w:rPr>
          <w:rFonts w:hint="eastAsia" w:ascii="宋体" w:hAnsi="宋体"/>
          <w:b/>
          <w:sz w:val="24"/>
        </w:rPr>
        <w:t xml:space="preserve">供应商公章：                       </w:t>
      </w:r>
    </w:p>
    <w:p>
      <w:pPr>
        <w:snapToGrid w:val="0"/>
        <w:spacing w:line="360" w:lineRule="auto"/>
        <w:ind w:firstLine="480" w:firstLineChars="200"/>
        <w:jc w:val="left"/>
        <w:rPr>
          <w:rFonts w:ascii="宋体" w:hAnsi="宋体"/>
          <w:sz w:val="24"/>
        </w:rPr>
      </w:pPr>
    </w:p>
    <w:p>
      <w:pPr>
        <w:adjustRightInd w:val="0"/>
        <w:snapToGrid w:val="0"/>
        <w:spacing w:line="360" w:lineRule="auto"/>
        <w:ind w:firstLine="480" w:firstLineChars="200"/>
        <w:jc w:val="left"/>
        <w:rPr>
          <w:rFonts w:ascii="宋体" w:hAnsi="宋体"/>
          <w:b/>
          <w:bCs/>
          <w:sz w:val="24"/>
          <w:szCs w:val="28"/>
        </w:rPr>
      </w:pPr>
      <w:r>
        <w:rPr>
          <w:rFonts w:hint="eastAsia" w:ascii="宋体" w:hAnsi="宋体"/>
          <w:sz w:val="24"/>
        </w:rPr>
        <w:t>年  月  日</w:t>
      </w:r>
    </w:p>
    <w:p>
      <w:pPr>
        <w:adjustRightInd w:val="0"/>
        <w:snapToGrid w:val="0"/>
        <w:spacing w:line="360" w:lineRule="auto"/>
        <w:ind w:firstLine="482" w:firstLineChars="200"/>
        <w:jc w:val="left"/>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rPr>
      </w:pPr>
      <w:r>
        <w:rPr>
          <w:rFonts w:hint="eastAsia" w:ascii="宋体" w:hAnsi="宋体" w:eastAsia="宋体" w:cs="宋体"/>
          <w:b/>
          <w:bCs/>
          <w:kern w:val="0"/>
          <w:sz w:val="24"/>
        </w:rPr>
        <w:t>1、本表内容根据询比文件要求包括了所有服务及其配套的所有费用。</w:t>
      </w:r>
    </w:p>
    <w:p>
      <w:pPr>
        <w:adjustRightInd w:val="0"/>
        <w:snapToGrid w:val="0"/>
        <w:spacing w:line="360" w:lineRule="auto"/>
        <w:ind w:firstLine="482" w:firstLineChars="200"/>
        <w:jc w:val="left"/>
        <w:rPr>
          <w:rFonts w:ascii="宋体" w:hAnsi="宋体"/>
          <w:b/>
          <w:bCs/>
          <w:sz w:val="24"/>
          <w:szCs w:val="28"/>
        </w:rPr>
      </w:pPr>
      <w:r>
        <w:rPr>
          <w:rFonts w:hint="eastAsia" w:ascii="宋体" w:hAnsi="宋体" w:eastAsia="宋体" w:cs="宋体"/>
          <w:b/>
          <w:bCs/>
          <w:kern w:val="0"/>
          <w:sz w:val="24"/>
        </w:rPr>
        <w:t>2、特殊事项在备注中注明。</w:t>
      </w:r>
    </w:p>
    <w:p>
      <w:pPr>
        <w:spacing w:line="360" w:lineRule="auto"/>
        <w:ind w:firstLine="640" w:firstLineChars="200"/>
        <w:jc w:val="left"/>
        <w:rPr>
          <w:rFonts w:ascii="仿宋_GB2312" w:hAnsi="仿宋_GB2312" w:eastAsia="仿宋_GB2312" w:cs="仿宋_GB2312"/>
          <w:bCs/>
          <w:sz w:val="32"/>
          <w:szCs w:val="32"/>
        </w:rPr>
      </w:pPr>
    </w:p>
    <w:p>
      <w:pPr>
        <w:spacing w:line="360" w:lineRule="auto"/>
        <w:ind w:firstLine="640" w:firstLineChars="200"/>
        <w:jc w:val="left"/>
        <w:rPr>
          <w:rFonts w:ascii="仿宋_GB2312" w:hAnsi="仿宋_GB2312" w:eastAsia="仿宋_GB2312" w:cs="仿宋_GB2312"/>
          <w:bCs/>
          <w:sz w:val="32"/>
          <w:szCs w:val="32"/>
        </w:rPr>
      </w:pPr>
    </w:p>
    <w:p>
      <w:pPr>
        <w:spacing w:line="360" w:lineRule="auto"/>
        <w:ind w:firstLine="640" w:firstLineChars="200"/>
        <w:jc w:val="left"/>
        <w:rPr>
          <w:rFonts w:ascii="仿宋_GB2312" w:hAnsi="仿宋_GB2312" w:eastAsia="仿宋_GB2312" w:cs="仿宋_GB2312"/>
          <w:bCs/>
          <w:sz w:val="32"/>
          <w:szCs w:val="32"/>
        </w:rPr>
      </w:pPr>
    </w:p>
    <w:p>
      <w:pPr>
        <w:spacing w:line="360" w:lineRule="auto"/>
        <w:ind w:firstLine="640" w:firstLineChars="200"/>
        <w:jc w:val="left"/>
        <w:rPr>
          <w:rFonts w:ascii="仿宋_GB2312" w:hAnsi="仿宋_GB2312" w:eastAsia="仿宋_GB2312" w:cs="仿宋_GB2312"/>
          <w:bCs/>
          <w:sz w:val="32"/>
          <w:szCs w:val="3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4"/>
        <w:spacing w:before="0" w:after="0" w:line="360" w:lineRule="auto"/>
        <w:ind w:firstLine="482" w:firstLineChars="200"/>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附件2</w:t>
      </w:r>
    </w:p>
    <w:p>
      <w:pPr>
        <w:snapToGrid w:val="0"/>
        <w:spacing w:line="360" w:lineRule="auto"/>
        <w:ind w:firstLine="482" w:firstLineChars="200"/>
        <w:jc w:val="center"/>
        <w:rPr>
          <w:rFonts w:ascii="宋体" w:hAnsi="宋体"/>
          <w:b/>
          <w:sz w:val="24"/>
          <w:szCs w:val="28"/>
        </w:rPr>
      </w:pPr>
      <w:r>
        <w:rPr>
          <w:rFonts w:hint="eastAsia" w:ascii="宋体" w:hAnsi="宋体"/>
          <w:b/>
          <w:sz w:val="24"/>
          <w:szCs w:val="28"/>
        </w:rPr>
        <w:t>供应商综合情况简介</w:t>
      </w:r>
    </w:p>
    <w:tbl>
      <w:tblPr>
        <w:tblStyle w:val="17"/>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供应商综合情况简介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Cs w:val="21"/>
              </w:rPr>
            </w:pPr>
            <w:r>
              <w:rPr>
                <w:rFonts w:hint="eastAsia" w:ascii="宋体" w:hAnsi="宋体" w:cs="Arial"/>
                <w:b/>
                <w:bCs/>
                <w:kern w:val="0"/>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企业基本信息</w:t>
            </w: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企业规模</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注册资本</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总资产</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企业性质</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所属产业</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所属行业</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是否特殊企业</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就业人数</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残疾人等特殊群体人数</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Cs w:val="21"/>
              </w:rPr>
            </w:pPr>
            <w:r>
              <w:rPr>
                <w:rFonts w:hint="eastAsia" w:ascii="宋体" w:hAnsi="宋体" w:cs="Arial"/>
                <w:kern w:val="0"/>
                <w:szCs w:val="21"/>
              </w:rPr>
              <w:t>上年收入缴费等信息</w:t>
            </w: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上年营业收入</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上年利润总额</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上年政府采购合同总金额</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上年缴税总额</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其中增值税</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其中营业税</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其中所得税</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上年缴纳社会保险总额</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其中缴纳养老保险</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其中缴纳医疗保险</w:t>
            </w: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28"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其中缴纳失业保险</w:t>
            </w:r>
          </w:p>
        </w:tc>
        <w:tc>
          <w:tcPr>
            <w:tcW w:w="96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567" w:type="dxa"/>
            <w:tcBorders>
              <w:top w:val="nil"/>
              <w:left w:val="nil"/>
              <w:bottom w:val="single" w:color="000000" w:sz="4" w:space="0"/>
              <w:right w:val="single" w:color="000000"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上年缴纳住房公积金总额</w:t>
            </w:r>
          </w:p>
        </w:tc>
        <w:tc>
          <w:tcPr>
            <w:tcW w:w="1191"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439"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63" w:type="dxa"/>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p>
            <w:pPr>
              <w:widowControl/>
              <w:wordWrap w:val="0"/>
              <w:jc w:val="right"/>
              <w:rPr>
                <w:rFonts w:ascii="宋体" w:hAnsi="宋体" w:cs="Arial"/>
                <w:kern w:val="0"/>
                <w:szCs w:val="21"/>
              </w:rPr>
            </w:pPr>
            <w:r>
              <w:rPr>
                <w:rFonts w:hint="eastAsia" w:ascii="宋体" w:hAnsi="宋体" w:cs="Arial"/>
                <w:kern w:val="0"/>
                <w:szCs w:val="21"/>
              </w:rPr>
              <w:t xml:space="preserve">供应商公章：              </w:t>
            </w:r>
          </w:p>
          <w:p>
            <w:pPr>
              <w:widowControl/>
              <w:jc w:val="right"/>
              <w:rPr>
                <w:rFonts w:ascii="宋体" w:hAnsi="宋体" w:cs="Arial"/>
                <w:kern w:val="0"/>
                <w:szCs w:val="21"/>
              </w:rPr>
            </w:pPr>
          </w:p>
          <w:p>
            <w:pPr>
              <w:widowControl/>
              <w:jc w:val="right"/>
              <w:rPr>
                <w:rFonts w:ascii="宋体" w:hAnsi="宋体" w:cs="Arial"/>
                <w:kern w:val="0"/>
                <w:szCs w:val="21"/>
              </w:rPr>
            </w:pPr>
          </w:p>
          <w:p>
            <w:pPr>
              <w:widowControl/>
              <w:jc w:val="right"/>
              <w:rPr>
                <w:rFonts w:ascii="宋体" w:hAnsi="宋体" w:cs="Arial"/>
                <w:kern w:val="0"/>
                <w:szCs w:val="21"/>
              </w:rPr>
            </w:pPr>
            <w:r>
              <w:rPr>
                <w:rFonts w:hint="eastAsia" w:ascii="宋体" w:hAnsi="宋体" w:cs="Arial"/>
                <w:kern w:val="0"/>
                <w:szCs w:val="21"/>
              </w:rPr>
              <w:t>填表日期：     年   月   日</w:t>
            </w:r>
          </w:p>
        </w:tc>
      </w:tr>
    </w:tbl>
    <w:p>
      <w:pPr>
        <w:spacing w:line="360" w:lineRule="auto"/>
        <w:ind w:firstLine="420" w:firstLineChars="200"/>
        <w:jc w:val="left"/>
        <w:rPr>
          <w:rFonts w:ascii="宋体" w:hAnsi="宋体"/>
        </w:rPr>
      </w:pPr>
    </w:p>
    <w:p>
      <w:pPr>
        <w:spacing w:line="360" w:lineRule="auto"/>
        <w:ind w:firstLine="480" w:firstLineChars="200"/>
        <w:jc w:val="left"/>
        <w:rPr>
          <w:rFonts w:ascii="宋体" w:hAnsi="宋体"/>
          <w:sz w:val="24"/>
        </w:rPr>
      </w:pPr>
    </w:p>
    <w:p>
      <w:pPr>
        <w:snapToGri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spacing w:line="360" w:lineRule="auto"/>
        <w:ind w:firstLine="480" w:firstLineChars="200"/>
        <w:jc w:val="left"/>
        <w:rPr>
          <w:rFonts w:ascii="宋体" w:hAnsi="宋体"/>
          <w:sz w:val="24"/>
        </w:rPr>
      </w:pPr>
      <w:r>
        <w:rPr>
          <w:rFonts w:hint="eastAsia" w:ascii="宋体" w:hAnsi="宋体"/>
          <w:sz w:val="24"/>
        </w:rPr>
        <w:t>1，请填表人认真，准确填写，并加盖单位公章，为便于成交后进行政府采购合同备案，请填写完整。</w:t>
      </w:r>
    </w:p>
    <w:p>
      <w:pPr>
        <w:spacing w:line="360" w:lineRule="auto"/>
        <w:ind w:firstLine="480" w:firstLineChars="200"/>
        <w:jc w:val="left"/>
        <w:rPr>
          <w:rFonts w:ascii="宋体" w:hAnsi="宋体"/>
          <w:sz w:val="24"/>
        </w:rPr>
      </w:pPr>
      <w:r>
        <w:rPr>
          <w:rFonts w:hint="eastAsia" w:ascii="宋体" w:hAnsi="宋体"/>
          <w:sz w:val="24"/>
        </w:rPr>
        <w:t>2，谈判项目产品中如无节能，环保产品，对应金额填“0”。</w:t>
      </w:r>
    </w:p>
    <w:p>
      <w:pPr>
        <w:spacing w:line="360" w:lineRule="auto"/>
        <w:ind w:firstLine="480" w:firstLineChars="200"/>
        <w:jc w:val="left"/>
        <w:rPr>
          <w:rFonts w:ascii="宋体" w:hAnsi="宋体"/>
          <w:sz w:val="24"/>
        </w:rPr>
      </w:pPr>
      <w:r>
        <w:rPr>
          <w:rFonts w:hint="eastAsia" w:ascii="宋体" w:hAnsi="宋体"/>
          <w:sz w:val="24"/>
        </w:rPr>
        <w:t>3“分支机构分类”对应填写“分公司”，“办事处”“其他分支机构”。</w:t>
      </w:r>
    </w:p>
    <w:p>
      <w:pPr>
        <w:spacing w:line="360" w:lineRule="auto"/>
        <w:ind w:firstLine="480" w:firstLineChars="200"/>
        <w:jc w:val="left"/>
        <w:rPr>
          <w:rFonts w:ascii="宋体" w:hAnsi="宋体"/>
          <w:sz w:val="24"/>
        </w:rPr>
      </w:pPr>
      <w:r>
        <w:rPr>
          <w:rFonts w:hint="eastAsia" w:ascii="宋体" w:hAnsi="宋体"/>
          <w:sz w:val="24"/>
        </w:rPr>
        <w:t>4，“企业规模”参照《中小企业划型标准规定》对应填写“大型企业”，“中型企业”，“小型企业”，“微型企业”。</w:t>
      </w:r>
    </w:p>
    <w:p>
      <w:pPr>
        <w:spacing w:line="360" w:lineRule="auto"/>
        <w:ind w:firstLine="480" w:firstLineChars="200"/>
        <w:jc w:val="left"/>
        <w:rPr>
          <w:rFonts w:ascii="宋体" w:hAnsi="宋体"/>
          <w:sz w:val="24"/>
        </w:rPr>
      </w:pPr>
      <w:r>
        <w:rPr>
          <w:rFonts w:hint="eastAsia" w:ascii="宋体" w:hAnsi="宋体"/>
          <w:sz w:val="24"/>
        </w:rPr>
        <w:t>5，“注册资本”，“总资产”等金额均以“万元”为单位。</w:t>
      </w:r>
    </w:p>
    <w:p>
      <w:pPr>
        <w:spacing w:line="360" w:lineRule="auto"/>
        <w:ind w:firstLine="480" w:firstLineChars="200"/>
        <w:jc w:val="left"/>
        <w:rPr>
          <w:rFonts w:ascii="宋体" w:hAnsi="宋体"/>
          <w:sz w:val="24"/>
        </w:rPr>
      </w:pPr>
      <w:r>
        <w:rPr>
          <w:rFonts w:hint="eastAsia" w:ascii="宋体" w:hAnsi="宋体"/>
          <w:sz w:val="24"/>
        </w:rPr>
        <w:t>6，“企业性质”对应填写“国有及国有控股”，“民营企业”，“集体企业”，“中外合资”，“外商独资”。</w:t>
      </w:r>
    </w:p>
    <w:p>
      <w:pPr>
        <w:spacing w:line="360" w:lineRule="auto"/>
        <w:ind w:firstLine="480" w:firstLineChars="200"/>
        <w:jc w:val="left"/>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spacing w:line="360" w:lineRule="auto"/>
        <w:ind w:firstLine="480" w:firstLineChars="200"/>
        <w:jc w:val="left"/>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spacing w:line="360" w:lineRule="auto"/>
        <w:ind w:firstLine="480" w:firstLineChars="200"/>
        <w:jc w:val="left"/>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spacing w:line="360" w:lineRule="auto"/>
        <w:ind w:firstLine="480" w:firstLineChars="200"/>
        <w:jc w:val="left"/>
        <w:rPr>
          <w:rFonts w:ascii="宋体" w:hAnsi="宋体"/>
          <w:sz w:val="24"/>
        </w:rPr>
      </w:pPr>
      <w:r>
        <w:rPr>
          <w:rFonts w:hint="eastAsia" w:ascii="宋体" w:hAnsi="宋体"/>
          <w:sz w:val="24"/>
        </w:rPr>
        <w:t>10，“上年政府采购合同总额”是指上年全年参与政府采购谈判，签订的政府采购合同金额总和。</w:t>
      </w:r>
    </w:p>
    <w:p>
      <w:pPr>
        <w:spacing w:line="360" w:lineRule="auto"/>
        <w:ind w:firstLine="480" w:firstLineChars="200"/>
        <w:jc w:val="left"/>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spacing w:line="360" w:lineRule="auto"/>
        <w:ind w:firstLine="480" w:firstLineChars="200"/>
        <w:jc w:val="left"/>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p>
    <w:p>
      <w:pPr>
        <w:spacing w:line="360" w:lineRule="auto"/>
        <w:jc w:val="left"/>
        <w:rPr>
          <w:rFonts w:ascii="宋体" w:hAnsi="宋体"/>
        </w:rPr>
      </w:pPr>
    </w:p>
    <w:p>
      <w:pPr>
        <w:rPr>
          <w:rFonts w:ascii="仿宋_GB2312" w:hAnsi="仿宋_GB2312" w:eastAsia="仿宋_GB2312" w:cs="仿宋_GB2312"/>
        </w:rPr>
      </w:pPr>
      <w:r>
        <w:rPr>
          <w:rFonts w:hint="eastAsia" w:ascii="仿宋_GB2312" w:hAnsi="仿宋_GB2312" w:eastAsia="仿宋_GB2312" w:cs="仿宋_GB2312"/>
        </w:rPr>
        <w:br w:type="page"/>
      </w:r>
    </w:p>
    <w:p>
      <w:pPr>
        <w:jc w:val="left"/>
        <w:rPr>
          <w:rFonts w:ascii="仿宋_GB2312" w:hAnsi="微软雅黑" w:eastAsia="仿宋_GB2312" w:cs="宋体"/>
          <w:b/>
          <w:bCs/>
          <w:kern w:val="0"/>
          <w:sz w:val="24"/>
        </w:rPr>
      </w:pPr>
      <w:r>
        <w:rPr>
          <w:rFonts w:hint="eastAsia" w:ascii="仿宋_GB2312" w:hAnsi="微软雅黑" w:eastAsia="仿宋_GB2312" w:cs="宋体"/>
          <w:b/>
          <w:bCs/>
          <w:kern w:val="0"/>
          <w:sz w:val="24"/>
        </w:rPr>
        <w:t>附件3</w:t>
      </w:r>
    </w:p>
    <w:p>
      <w:pPr>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before="62" w:beforeLines="20" w:after="62" w:afterLines="20" w:line="540" w:lineRule="exact"/>
        <w:ind w:firstLine="610"/>
        <w:rPr>
          <w:rFonts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ascii="仿宋" w:hAnsi="仿宋" w:eastAsia="仿宋" w:cs="仿宋"/>
        </w:rPr>
      </w:pPr>
    </w:p>
    <w:p>
      <w:pPr>
        <w:pStyle w:val="8"/>
        <w:spacing w:before="62" w:beforeLines="20" w:after="62" w:afterLines="20" w:line="540" w:lineRule="exact"/>
        <w:ind w:firstLine="240" w:firstLineChars="100"/>
        <w:rPr>
          <w:rFonts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ascii="仿宋" w:hAnsi="仿宋" w:eastAsia="仿宋" w:cs="仿宋"/>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vAlign w:val="center"/>
          </w:tcPr>
          <w:p>
            <w:pPr>
              <w:spacing w:before="62" w:beforeLines="20" w:after="62" w:afterLines="20" w:line="540" w:lineRule="exact"/>
              <w:jc w:val="center"/>
              <w:rPr>
                <w:rFonts w:ascii="仿宋" w:hAnsi="仿宋" w:eastAsia="仿宋" w:cs="仿宋"/>
              </w:rPr>
            </w:pPr>
            <w:r>
              <w:rPr>
                <w:rFonts w:hint="eastAsia" w:ascii="仿宋" w:hAnsi="仿宋" w:eastAsia="仿宋" w:cs="仿宋"/>
              </w:rPr>
              <w:t>法定代表人（单位负责人）身份证明复印件</w:t>
            </w:r>
          </w:p>
        </w:tc>
      </w:tr>
    </w:tbl>
    <w:p>
      <w:pPr>
        <w:tabs>
          <w:tab w:val="left" w:pos="720"/>
          <w:tab w:val="left" w:pos="900"/>
        </w:tabs>
        <w:spacing w:before="62" w:beforeLines="20" w:after="62" w:afterLines="20" w:line="540" w:lineRule="exact"/>
        <w:ind w:firstLine="4920" w:firstLineChars="2050"/>
        <w:rPr>
          <w:rFonts w:ascii="仿宋" w:hAnsi="仿宋" w:eastAsia="仿宋" w:cs="仿宋"/>
          <w:sz w:val="24"/>
        </w:rPr>
      </w:pPr>
    </w:p>
    <w:p>
      <w:pPr>
        <w:tabs>
          <w:tab w:val="left" w:pos="720"/>
          <w:tab w:val="left" w:pos="900"/>
        </w:tabs>
        <w:spacing w:before="62" w:beforeLines="20" w:after="62" w:afterLines="20" w:line="540" w:lineRule="exact"/>
        <w:ind w:firstLine="4920" w:firstLineChars="2050"/>
        <w:rPr>
          <w:rFonts w:ascii="仿宋" w:hAnsi="仿宋" w:eastAsia="仿宋" w:cs="仿宋"/>
          <w:sz w:val="24"/>
        </w:rPr>
      </w:pPr>
    </w:p>
    <w:p>
      <w:pPr>
        <w:tabs>
          <w:tab w:val="left" w:pos="720"/>
          <w:tab w:val="left" w:pos="900"/>
        </w:tabs>
        <w:spacing w:before="62" w:beforeLines="20" w:after="62" w:afterLines="20" w:line="540" w:lineRule="exact"/>
        <w:ind w:firstLine="5040" w:firstLineChars="21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jc w:val="right"/>
        <w:rPr>
          <w:rFonts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rPr>
        <w:br w:type="page"/>
      </w:r>
    </w:p>
    <w:p>
      <w:pPr>
        <w:jc w:val="center"/>
        <w:rPr>
          <w:rFonts w:ascii="仿宋" w:hAnsi="仿宋" w:eastAsia="仿宋" w:cs="仿宋"/>
          <w:b/>
          <w:bCs/>
          <w:sz w:val="28"/>
          <w:szCs w:val="28"/>
        </w:rPr>
      </w:pPr>
      <w:r>
        <w:rPr>
          <w:rFonts w:hint="eastAsia" w:ascii="仿宋" w:hAnsi="仿宋" w:eastAsia="仿宋" w:cs="仿宋"/>
          <w:b/>
          <w:bCs/>
          <w:sz w:val="28"/>
          <w:szCs w:val="28"/>
        </w:rPr>
        <w:t>法定代表人授权书</w:t>
      </w:r>
    </w:p>
    <w:p>
      <w:pPr>
        <w:pStyle w:val="10"/>
        <w:snapToGrid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询比过程的一切事宜。委托事宜包括但不限于：提交响应文件，参与澄清、谈判、签约等。供应商授权代表在询比过程中所签署的一切文件和处理与之有关的一切事务，本公司均予以认可并对此承担责任。供应商授权代表无转委托权。特此授权。</w:t>
      </w:r>
    </w:p>
    <w:p>
      <w:pPr>
        <w:pStyle w:val="10"/>
        <w:snapToGrid w:val="0"/>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ascii="仿宋" w:hAnsi="仿宋" w:eastAsia="仿宋" w:cs="仿宋"/>
          <w:sz w:val="24"/>
          <w:szCs w:val="28"/>
        </w:rPr>
      </w:pPr>
    </w:p>
    <w:p>
      <w:pPr>
        <w:spacing w:line="360" w:lineRule="auto"/>
        <w:ind w:firstLine="645"/>
        <w:rPr>
          <w:rFonts w:ascii="仿宋" w:hAnsi="仿宋" w:eastAsia="仿宋" w:cs="仿宋"/>
          <w:sz w:val="24"/>
          <w:szCs w:val="28"/>
        </w:rPr>
      </w:pPr>
      <w:r>
        <w:rPr>
          <w:rFonts w:hint="eastAsia" w:ascii="仿宋" w:hAnsi="仿宋" w:eastAsia="仿宋" w:cs="仿宋"/>
          <w:sz w:val="24"/>
          <w:szCs w:val="28"/>
        </w:rPr>
        <w:t>特此声明。</w:t>
      </w:r>
    </w:p>
    <w:p>
      <w:pPr>
        <w:spacing w:line="360" w:lineRule="auto"/>
        <w:rPr>
          <w:rFonts w:ascii="仿宋" w:hAnsi="仿宋" w:eastAsia="仿宋" w:cs="仿宋"/>
          <w:sz w:val="24"/>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r>
                              <w:rPr>
                                <w:rFonts w:hint="eastAsia"/>
                              </w:rPr>
                              <w:t>授权代表身份证明复印件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
                    <w:p>
                      <w:r>
                        <w:rPr>
                          <w:rFonts w:hint="eastAsia"/>
                        </w:rPr>
                        <w:t>授权代表身份证明复印件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pPr>
                            <w:r>
                              <w:rPr>
                                <w:rFonts w:hint="eastAsia"/>
                              </w:rPr>
                              <w:t>法定代表人（单位负责人）</w:t>
                            </w:r>
                          </w:p>
                          <w:p>
                            <w:r>
                              <w:rPr>
                                <w:rFonts w:hint="eastAsia"/>
                              </w:rPr>
                              <w:t>身份证明复印件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pPr>
                      <w:r>
                        <w:rPr>
                          <w:rFonts w:hint="eastAsia"/>
                        </w:rPr>
                        <w:t>法定代表人（单位负责人）</w:t>
                      </w:r>
                    </w:p>
                    <w:p>
                      <w:r>
                        <w:rPr>
                          <w:rFonts w:hint="eastAsia"/>
                        </w:rPr>
                        <w:t>身份证明复印件</w:t>
                      </w:r>
                    </w:p>
                    <w:p/>
                  </w:txbxContent>
                </v:textbox>
              </v:roundrect>
            </w:pict>
          </mc:Fallback>
        </mc:AlternateContent>
      </w:r>
      <w:r>
        <w:rPr>
          <w:rFonts w:hint="eastAsia" w:ascii="仿宋" w:hAnsi="仿宋" w:eastAsia="仿宋" w:cs="仿宋"/>
          <w:sz w:val="24"/>
          <w:szCs w:val="28"/>
        </w:rPr>
        <w:t xml:space="preserve">   </w:t>
      </w:r>
    </w:p>
    <w:p>
      <w:pPr>
        <w:spacing w:before="62" w:beforeLines="20" w:after="62" w:afterLines="20" w:line="540" w:lineRule="exact"/>
        <w:rPr>
          <w:rFonts w:ascii="仿宋" w:hAnsi="仿宋" w:eastAsia="仿宋" w:cs="仿宋"/>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p>
    <w:p>
      <w:pPr>
        <w:spacing w:line="360" w:lineRule="auto"/>
        <w:rPr>
          <w:rFonts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ascii="仿宋" w:hAnsi="仿宋" w:eastAsia="仿宋" w:cs="仿宋"/>
          <w:bCs/>
          <w:sz w:val="24"/>
          <w:szCs w:val="28"/>
          <w:u w:val="single"/>
        </w:rPr>
      </w:pPr>
    </w:p>
    <w:p>
      <w:pPr>
        <w:spacing w:line="360" w:lineRule="auto"/>
        <w:rPr>
          <w:rFonts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ascii="仿宋" w:hAnsi="仿宋" w:eastAsia="仿宋" w:cs="仿宋"/>
          <w:bCs/>
          <w:sz w:val="24"/>
          <w:szCs w:val="28"/>
        </w:rPr>
      </w:pPr>
    </w:p>
    <w:p>
      <w:pPr>
        <w:spacing w:line="360" w:lineRule="auto"/>
        <w:rPr>
          <w:rFonts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0"/>
        <w:snapToGrid w:val="0"/>
        <w:spacing w:line="360" w:lineRule="auto"/>
        <w:rPr>
          <w:rFonts w:ascii="仿宋" w:hAnsi="仿宋" w:eastAsia="仿宋" w:cs="仿宋"/>
          <w:sz w:val="24"/>
        </w:rPr>
      </w:pPr>
      <w:r>
        <w:rPr>
          <w:rStyle w:val="21"/>
          <w:rFonts w:hint="eastAsia" w:ascii="仿宋" w:hAnsi="仿宋" w:eastAsia="仿宋" w:cs="仿宋"/>
        </w:rPr>
        <w:t>备</w:t>
      </w:r>
      <w:r>
        <w:rPr>
          <w:rFonts w:hint="eastAsia" w:ascii="仿宋" w:hAnsi="仿宋" w:eastAsia="仿宋" w:cs="仿宋"/>
          <w:sz w:val="24"/>
        </w:rPr>
        <w:t xml:space="preserve">注： </w:t>
      </w:r>
    </w:p>
    <w:p>
      <w:pPr>
        <w:pStyle w:val="10"/>
        <w:snapToGrid w:val="0"/>
        <w:spacing w:line="360" w:lineRule="auto"/>
        <w:rPr>
          <w:rFonts w:ascii="仿宋" w:hAnsi="仿宋" w:eastAsia="仿宋" w:cs="仿宋"/>
          <w:sz w:val="24"/>
        </w:rPr>
      </w:pPr>
      <w:r>
        <w:rPr>
          <w:rFonts w:hint="eastAsia" w:ascii="仿宋" w:hAnsi="仿宋" w:eastAsia="仿宋" w:cs="仿宋"/>
          <w:sz w:val="24"/>
        </w:rPr>
        <w:t xml:space="preserve">1. 本项目只允许有唯一的供应商授权代表，并提供身份证明复印件。 </w:t>
      </w:r>
    </w:p>
    <w:p>
      <w:pPr>
        <w:widowControl/>
        <w:shd w:val="clear" w:color="auto" w:fill="FFFFFF"/>
        <w:spacing w:line="360" w:lineRule="atLeast"/>
        <w:jc w:val="left"/>
        <w:rPr>
          <w:rFonts w:ascii="仿宋" w:hAnsi="仿宋" w:eastAsia="仿宋" w:cs="仿宋"/>
          <w:sz w:val="24"/>
        </w:rPr>
      </w:pPr>
      <w:r>
        <w:rPr>
          <w:rFonts w:hint="eastAsia" w:ascii="仿宋" w:hAnsi="仿宋" w:eastAsia="仿宋" w:cs="仿宋"/>
          <w:sz w:val="24"/>
        </w:rPr>
        <w:t>2. 法定代表人参加询比采购活动的，无需授权书，需提供身份证明复印件。</w:t>
      </w:r>
    </w:p>
    <w:p>
      <w:pPr>
        <w:rPr>
          <w:rFonts w:ascii="仿宋" w:hAnsi="仿宋" w:eastAsia="仿宋" w:cs="仿宋"/>
          <w:sz w:val="24"/>
        </w:rPr>
      </w:pPr>
      <w:r>
        <w:rPr>
          <w:rFonts w:hint="eastAsia" w:ascii="仿宋" w:hAnsi="仿宋" w:eastAsia="仿宋" w:cs="仿宋"/>
          <w:sz w:val="24"/>
        </w:rPr>
        <w:br w:type="page"/>
      </w: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附件4</w:t>
      </w:r>
    </w:p>
    <w:p>
      <w:pPr>
        <w:pStyle w:val="14"/>
        <w:shd w:val="clear" w:color="auto" w:fill="FFFFFF"/>
        <w:spacing w:before="0" w:beforeAutospacing="0" w:after="120" w:afterAutospacing="0" w:line="360" w:lineRule="atLeast"/>
        <w:jc w:val="center"/>
        <w:rPr>
          <w:rStyle w:val="20"/>
          <w:color w:val="000000"/>
          <w:shd w:val="clear" w:color="auto" w:fill="FFFFFF"/>
        </w:rPr>
      </w:pPr>
      <w:r>
        <w:rPr>
          <w:rStyle w:val="20"/>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致：合肥市数智城市投资运营有限公司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1、在参与本次采购活动中我方不存在下列任何情形之一：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（13）法律法规规定的其他情形。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微软雅黑" w:hAnsi="微软雅黑" w:eastAsia="微软雅黑" w:cs="宋体"/>
          <w:kern w:val="0"/>
          <w:sz w:val="24"/>
        </w:r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shd w:val="clear" w:color="auto" w:fill="FFFFFF"/>
        <w:jc w:val="left"/>
        <w:rPr>
          <w:rFonts w:ascii="微软雅黑" w:hAnsi="微软雅黑" w:eastAsia="微软雅黑" w:cs="宋体"/>
          <w:kern w:val="0"/>
          <w:sz w:val="24"/>
        </w:rPr>
      </w:pPr>
    </w:p>
    <w:p>
      <w:pPr>
        <w:widowControl/>
        <w:shd w:val="clear" w:color="auto" w:fill="FFFFFF"/>
        <w:ind w:firstLine="645"/>
        <w:jc w:val="left"/>
        <w:rPr>
          <w:rFonts w:ascii="微软雅黑" w:hAnsi="微软雅黑" w:eastAsia="微软雅黑" w:cs="宋体"/>
          <w:kern w:val="0"/>
          <w:sz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rPr>
      </w:pPr>
      <w:r>
        <w:rPr>
          <w:rFonts w:ascii="仿宋_GB2312" w:hAnsi="微软雅黑" w:eastAsia="仿宋_GB2312" w:cs="宋体"/>
          <w:b/>
          <w:bCs/>
          <w:kern w:val="0"/>
          <w:sz w:val="24"/>
        </w:rPr>
        <w:br w:type="page"/>
      </w:r>
    </w:p>
    <w:p>
      <w:pPr>
        <w:widowControl/>
        <w:jc w:val="left"/>
        <w:rPr>
          <w:rFonts w:ascii="仿宋_GB2312" w:hAnsi="微软雅黑" w:eastAsia="仿宋_GB2312" w:cs="宋体"/>
          <w:b/>
          <w:bCs/>
          <w:kern w:val="0"/>
          <w:sz w:val="24"/>
        </w:rPr>
      </w:pP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附件5</w:t>
      </w:r>
    </w:p>
    <w:p>
      <w:pPr>
        <w:widowControl/>
        <w:shd w:val="clear" w:color="auto" w:fill="FFFFFF"/>
        <w:spacing w:line="360" w:lineRule="atLeast"/>
        <w:jc w:val="center"/>
        <w:rPr>
          <w:rFonts w:ascii="微软雅黑" w:hAnsi="微软雅黑" w:eastAsia="微软雅黑" w:cs="宋体"/>
          <w:kern w:val="0"/>
          <w:sz w:val="24"/>
          <w:highlight w:val="yellow"/>
        </w:rPr>
      </w:pPr>
      <w:r>
        <w:rPr>
          <w:rFonts w:hint="eastAsia" w:ascii="宋体" w:hAnsi="宋体" w:eastAsia="宋体" w:cs="宋体"/>
          <w:b/>
          <w:bCs/>
          <w:kern w:val="0"/>
          <w:sz w:val="24"/>
          <w:highlight w:val="yellow"/>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7"/>
        <w:tblW w:w="9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2121"/>
        <w:gridCol w:w="1776"/>
        <w:gridCol w:w="1930"/>
        <w:gridCol w:w="1680"/>
        <w:gridCol w:w="1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1776"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930"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40"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121" w:type="dxa"/>
            <w:vAlign w:val="center"/>
          </w:tcPr>
          <w:p>
            <w:pPr>
              <w:widowControl/>
              <w:shd w:val="clear" w:color="auto" w:fill="FFFFFF"/>
              <w:jc w:val="center"/>
              <w:rPr>
                <w:rFonts w:ascii="仿宋_GB2312" w:hAnsi="仿宋_GB2312" w:eastAsia="仿宋_GB2312" w:cs="仿宋_GB2312"/>
                <w:kern w:val="0"/>
                <w:szCs w:val="21"/>
              </w:rPr>
            </w:pPr>
          </w:p>
        </w:tc>
        <w:tc>
          <w:tcPr>
            <w:tcW w:w="1776" w:type="dxa"/>
            <w:vAlign w:val="center"/>
          </w:tcPr>
          <w:p>
            <w:pPr>
              <w:widowControl/>
              <w:shd w:val="clear" w:color="auto" w:fill="FFFFFF"/>
              <w:jc w:val="center"/>
              <w:rPr>
                <w:rFonts w:ascii="仿宋_GB2312" w:hAnsi="仿宋_GB2312" w:eastAsia="仿宋_GB2312" w:cs="仿宋_GB2312"/>
                <w:kern w:val="0"/>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121" w:type="dxa"/>
            <w:vAlign w:val="center"/>
          </w:tcPr>
          <w:p>
            <w:pPr>
              <w:widowControl/>
              <w:shd w:val="clear" w:color="auto" w:fill="FFFFFF"/>
              <w:jc w:val="center"/>
              <w:rPr>
                <w:rFonts w:ascii="仿宋_GB2312" w:hAnsi="仿宋_GB2312" w:eastAsia="仿宋_GB2312" w:cs="仿宋_GB2312"/>
                <w:szCs w:val="21"/>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121" w:type="dxa"/>
            <w:vAlign w:val="center"/>
          </w:tcPr>
          <w:p>
            <w:pPr>
              <w:widowControl/>
              <w:shd w:val="clear" w:color="auto" w:fill="FFFFFF"/>
              <w:jc w:val="center"/>
              <w:rPr>
                <w:rFonts w:ascii="仿宋_GB2312" w:hAnsi="仿宋_GB2312" w:eastAsia="仿宋_GB2312" w:cs="仿宋_GB2312"/>
                <w:kern w:val="0"/>
                <w:szCs w:val="21"/>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4</w:t>
            </w:r>
          </w:p>
        </w:tc>
        <w:tc>
          <w:tcPr>
            <w:tcW w:w="2121" w:type="dxa"/>
            <w:vAlign w:val="center"/>
          </w:tcPr>
          <w:p>
            <w:pPr>
              <w:widowControl/>
              <w:shd w:val="clear" w:color="auto" w:fill="FFFFFF"/>
              <w:jc w:val="center"/>
              <w:rPr>
                <w:rFonts w:ascii="仿宋_GB2312" w:hAnsi="仿宋_GB2312" w:eastAsia="仿宋_GB2312" w:cs="仿宋_GB2312"/>
                <w:kern w:val="0"/>
                <w:szCs w:val="21"/>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5</w:t>
            </w:r>
          </w:p>
        </w:tc>
        <w:tc>
          <w:tcPr>
            <w:tcW w:w="2121" w:type="dxa"/>
            <w:vAlign w:val="center"/>
          </w:tcPr>
          <w:p>
            <w:pPr>
              <w:widowControl/>
              <w:shd w:val="clear" w:color="auto" w:fill="FFFFFF"/>
              <w:jc w:val="center"/>
              <w:rPr>
                <w:rFonts w:ascii="仿宋_GB2312" w:hAnsi="仿宋_GB2312" w:eastAsia="仿宋_GB2312" w:cs="仿宋_GB2312"/>
                <w:szCs w:val="21"/>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2121" w:type="dxa"/>
            <w:vAlign w:val="center"/>
          </w:tcPr>
          <w:p>
            <w:pPr>
              <w:widowControl/>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支付方式</w:t>
            </w:r>
          </w:p>
        </w:tc>
        <w:tc>
          <w:tcPr>
            <w:tcW w:w="1776" w:type="dxa"/>
            <w:vAlign w:val="center"/>
          </w:tcPr>
          <w:p>
            <w:pPr>
              <w:widowControl/>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5"/>
        <w:tabs>
          <w:tab w:val="left" w:pos="1078"/>
          <w:tab w:val="left" w:pos="1176"/>
          <w:tab w:val="left" w:pos="1638"/>
          <w:tab w:val="left" w:pos="3920"/>
          <w:tab w:val="left" w:pos="5670"/>
        </w:tabs>
        <w:ind w:firstLine="422"/>
        <w:rPr>
          <w:rFonts w:ascii="宋体" w:hAnsi="宋体" w:eastAsia="宋体" w:cs="宋体"/>
          <w:b/>
          <w:bCs/>
          <w:sz w:val="21"/>
          <w:szCs w:val="21"/>
        </w:rPr>
      </w:pPr>
    </w:p>
    <w:p>
      <w:pPr>
        <w:pStyle w:val="15"/>
        <w:tabs>
          <w:tab w:val="left" w:pos="1078"/>
          <w:tab w:val="left" w:pos="1176"/>
          <w:tab w:val="left" w:pos="1638"/>
          <w:tab w:val="left" w:pos="3920"/>
          <w:tab w:val="left" w:pos="5670"/>
        </w:tabs>
        <w:ind w:firstLine="422"/>
        <w:rPr>
          <w:rFonts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注：1、表中须按列出的内容或技术参数做出一一偏离/响应,表格内容自行拓展。此表内容若与响应文件中其他技术规格/参数响应内容不一致，以此表为准！</w:t>
      </w:r>
    </w:p>
    <w:p>
      <w:pPr>
        <w:pStyle w:val="15"/>
        <w:tabs>
          <w:tab w:val="left" w:pos="1078"/>
          <w:tab w:val="left" w:pos="1176"/>
          <w:tab w:val="left" w:pos="1638"/>
          <w:tab w:val="left" w:pos="3920"/>
          <w:tab w:val="left" w:pos="5670"/>
        </w:tabs>
        <w:ind w:firstLine="422"/>
        <w:rPr>
          <w:rFonts w:ascii="宋体" w:hAnsi="宋体" w:cs="宋体"/>
          <w:b/>
          <w:bCs/>
          <w:szCs w:val="21"/>
        </w:rPr>
      </w:pPr>
      <w:r>
        <w:rPr>
          <w:rFonts w:hint="eastAsia" w:ascii="宋体" w:hAnsi="宋体" w:eastAsia="宋体" w:cs="宋体"/>
          <w:b/>
          <w:bCs/>
          <w:sz w:val="21"/>
          <w:szCs w:val="21"/>
        </w:rPr>
        <w:t>2、若供应商无偏离，也应填报此表。</w:t>
      </w:r>
    </w:p>
    <w:p>
      <w:pPr>
        <w:widowControl/>
        <w:shd w:val="clear" w:color="auto" w:fill="FFFFFF"/>
        <w:spacing w:line="360" w:lineRule="atLeast"/>
        <w:jc w:val="left"/>
        <w:rPr>
          <w:rFonts w:ascii="仿宋_GB2312" w:hAnsi="微软雅黑" w:eastAsia="仿宋_GB2312" w:cs="宋体"/>
          <w:b/>
          <w:bCs/>
          <w:kern w:val="0"/>
          <w:sz w:val="24"/>
        </w:rPr>
      </w:pPr>
    </w:p>
    <w:p>
      <w:pPr>
        <w:rPr>
          <w:rFonts w:ascii="仿宋_GB2312" w:hAnsi="微软雅黑" w:eastAsia="仿宋_GB2312" w:cs="宋体"/>
          <w:b/>
          <w:bCs/>
          <w:kern w:val="0"/>
          <w:sz w:val="24"/>
        </w:rPr>
      </w:pPr>
      <w:r>
        <w:rPr>
          <w:rFonts w:hint="eastAsia" w:ascii="仿宋_GB2312" w:hAnsi="微软雅黑" w:eastAsia="仿宋_GB2312" w:cs="宋体"/>
          <w:b/>
          <w:bCs/>
          <w:kern w:val="0"/>
          <w:sz w:val="24"/>
        </w:rPr>
        <w:br w:type="page"/>
      </w:r>
    </w:p>
    <w:p>
      <w:pPr>
        <w:widowControl/>
        <w:shd w:val="clear" w:color="auto" w:fill="FFFFFF"/>
        <w:spacing w:line="360" w:lineRule="atLeast"/>
        <w:jc w:val="left"/>
        <w:rPr>
          <w:rFonts w:ascii="微软雅黑" w:hAnsi="微软雅黑" w:eastAsia="仿宋_GB2312" w:cs="宋体"/>
          <w:kern w:val="0"/>
          <w:sz w:val="24"/>
        </w:rPr>
      </w:pPr>
      <w:r>
        <w:rPr>
          <w:rFonts w:hint="eastAsia" w:ascii="仿宋_GB2312" w:hAnsi="微软雅黑" w:eastAsia="仿宋_GB2312" w:cs="宋体"/>
          <w:b/>
          <w:bCs/>
          <w:kern w:val="0"/>
          <w:sz w:val="24"/>
        </w:rPr>
        <w:t>附件6</w:t>
      </w:r>
    </w:p>
    <w:p>
      <w:pPr>
        <w:widowControl/>
        <w:shd w:val="clear" w:color="auto" w:fill="FFFFFF"/>
        <w:spacing w:line="360" w:lineRule="atLeast"/>
        <w:jc w:val="center"/>
        <w:rPr>
          <w:rFonts w:ascii="微软雅黑" w:hAnsi="微软雅黑" w:eastAsia="仿宋_GB2312" w:cs="宋体"/>
          <w:kern w:val="0"/>
          <w:sz w:val="24"/>
        </w:rPr>
      </w:pPr>
      <w:r>
        <w:rPr>
          <w:rFonts w:hint="eastAsia" w:ascii="仿宋_GB2312" w:hAnsi="微软雅黑" w:eastAsia="仿宋_GB2312" w:cs="宋体"/>
          <w:b/>
          <w:bCs/>
          <w:kern w:val="0"/>
          <w:sz w:val="24"/>
        </w:rPr>
        <w:t>其他文件（含资格证明文件）</w:t>
      </w:r>
    </w:p>
    <w:p>
      <w:pPr>
        <w:widowControl/>
        <w:shd w:val="clear" w:color="auto" w:fill="FFFFFF"/>
        <w:spacing w:line="360" w:lineRule="atLeast"/>
        <w:ind w:firstLine="480"/>
        <w:jc w:val="left"/>
        <w:rPr>
          <w:rFonts w:ascii="宋体" w:hAnsi="宋体" w:eastAsia="宋体" w:cs="宋体"/>
          <w:kern w:val="0"/>
          <w:sz w:val="24"/>
        </w:rPr>
      </w:pPr>
    </w:p>
    <w:p>
      <w:pPr>
        <w:widowControl/>
        <w:numPr>
          <w:ilvl w:val="0"/>
          <w:numId w:val="4"/>
        </w:numPr>
        <w:shd w:val="clear" w:color="auto" w:fill="FFFFFF"/>
        <w:spacing w:line="360" w:lineRule="atLeast"/>
        <w:ind w:firstLine="480"/>
        <w:jc w:val="left"/>
        <w:rPr>
          <w:rFonts w:ascii="宋体" w:hAnsi="宋体" w:eastAsia="宋体" w:cs="宋体"/>
          <w:b/>
          <w:bCs/>
          <w:kern w:val="0"/>
          <w:sz w:val="24"/>
        </w:rPr>
      </w:pPr>
      <w:r>
        <w:rPr>
          <w:rFonts w:hint="eastAsia" w:ascii="宋体" w:hAnsi="宋体" w:eastAsia="宋体" w:cs="宋体"/>
          <w:b/>
          <w:bCs/>
          <w:kern w:val="0"/>
          <w:sz w:val="24"/>
        </w:rPr>
        <w:t>资格证明文件：营业执照等相关证明材料。</w:t>
      </w:r>
    </w:p>
    <w:p>
      <w:pPr>
        <w:pStyle w:val="15"/>
        <w:tabs>
          <w:tab w:val="left" w:pos="1078"/>
          <w:tab w:val="left" w:pos="1176"/>
          <w:tab w:val="left" w:pos="1638"/>
          <w:tab w:val="left" w:pos="3920"/>
          <w:tab w:val="left" w:pos="5670"/>
        </w:tabs>
        <w:ind w:firstLine="480"/>
        <w:rPr>
          <w:rFonts w:ascii="宋体" w:hAnsi="宋体" w:eastAsia="宋体" w:cs="宋体"/>
          <w:kern w:val="0"/>
          <w:sz w:val="24"/>
          <w:szCs w:val="24"/>
        </w:rPr>
      </w:pPr>
    </w:p>
    <w:p>
      <w:pPr>
        <w:widowControl/>
        <w:numPr>
          <w:ilvl w:val="0"/>
          <w:numId w:val="4"/>
        </w:numPr>
        <w:shd w:val="clear" w:color="auto" w:fill="FFFFFF"/>
        <w:spacing w:line="360" w:lineRule="atLeast"/>
        <w:ind w:firstLine="480"/>
        <w:jc w:val="left"/>
        <w:rPr>
          <w:rFonts w:ascii="宋体" w:hAnsi="宋体" w:eastAsia="宋体" w:cs="宋体"/>
          <w:kern w:val="0"/>
          <w:sz w:val="24"/>
        </w:rPr>
      </w:pPr>
      <w:r>
        <w:rPr>
          <w:rFonts w:hint="eastAsia" w:ascii="宋体" w:hAnsi="宋体" w:eastAsia="宋体" w:cs="宋体"/>
          <w:kern w:val="0"/>
          <w:sz w:val="24"/>
        </w:rPr>
        <w:t>其他询比文件要求的评审所需材料（包括但不限于证书、业绩、项目实施技术方案、售后服务方案等）。</w:t>
      </w:r>
    </w:p>
    <w:p>
      <w:pPr>
        <w:widowControl/>
        <w:spacing w:line="360" w:lineRule="auto"/>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71D40"/>
    <w:multiLevelType w:val="singleLevel"/>
    <w:tmpl w:val="D0D71D40"/>
    <w:lvl w:ilvl="0" w:tentative="0">
      <w:start w:val="7"/>
      <w:numFmt w:val="decimal"/>
      <w:suff w:val="nothing"/>
      <w:lvlText w:val="%1、"/>
      <w:lvlJc w:val="left"/>
    </w:lvl>
  </w:abstractNum>
  <w:abstractNum w:abstractNumId="1">
    <w:nsid w:val="375D4B71"/>
    <w:multiLevelType w:val="singleLevel"/>
    <w:tmpl w:val="375D4B71"/>
    <w:lvl w:ilvl="0" w:tentative="0">
      <w:start w:val="1"/>
      <w:numFmt w:val="chineseCounting"/>
      <w:suff w:val="nothing"/>
      <w:lvlText w:val="（%1）"/>
      <w:lvlJc w:val="left"/>
      <w:pPr>
        <w:ind w:left="360"/>
      </w:pPr>
      <w:rPr>
        <w:rFonts w:hint="eastAsia"/>
      </w:rPr>
    </w:lvl>
  </w:abstractNum>
  <w:abstractNum w:abstractNumId="2">
    <w:nsid w:val="4B96F23B"/>
    <w:multiLevelType w:val="singleLevel"/>
    <w:tmpl w:val="4B96F23B"/>
    <w:lvl w:ilvl="0" w:tentative="0">
      <w:start w:val="1"/>
      <w:numFmt w:val="decimal"/>
      <w:lvlText w:val="%1."/>
      <w:lvlJc w:val="left"/>
      <w:pPr>
        <w:tabs>
          <w:tab w:val="left" w:pos="312"/>
        </w:tabs>
      </w:pPr>
    </w:lvl>
  </w:abstractNum>
  <w:abstractNum w:abstractNumId="3">
    <w:nsid w:val="5F7B2F33"/>
    <w:multiLevelType w:val="multilevel"/>
    <w:tmpl w:val="5F7B2F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TEwNjNhMDMxN2ZmOTZjN2Q2ZjBmODkxZWYwZDIifQ=="/>
  </w:docVars>
  <w:rsids>
    <w:rsidRoot w:val="72F85224"/>
    <w:rsid w:val="000365E1"/>
    <w:rsid w:val="0006064C"/>
    <w:rsid w:val="00077F9A"/>
    <w:rsid w:val="00082880"/>
    <w:rsid w:val="0009542E"/>
    <w:rsid w:val="000F40EB"/>
    <w:rsid w:val="000F5E0F"/>
    <w:rsid w:val="001933CD"/>
    <w:rsid w:val="001B2081"/>
    <w:rsid w:val="001D15C2"/>
    <w:rsid w:val="001E102D"/>
    <w:rsid w:val="001F549C"/>
    <w:rsid w:val="001F779F"/>
    <w:rsid w:val="0021180B"/>
    <w:rsid w:val="00253C6B"/>
    <w:rsid w:val="002623AD"/>
    <w:rsid w:val="002A0F99"/>
    <w:rsid w:val="002C0B80"/>
    <w:rsid w:val="002C5F82"/>
    <w:rsid w:val="002F6E57"/>
    <w:rsid w:val="003427F2"/>
    <w:rsid w:val="0034745C"/>
    <w:rsid w:val="003D0AE6"/>
    <w:rsid w:val="00400B95"/>
    <w:rsid w:val="0042233C"/>
    <w:rsid w:val="00422FC5"/>
    <w:rsid w:val="00450834"/>
    <w:rsid w:val="00474AF9"/>
    <w:rsid w:val="004751D9"/>
    <w:rsid w:val="00481707"/>
    <w:rsid w:val="00495C89"/>
    <w:rsid w:val="00496385"/>
    <w:rsid w:val="004B09F6"/>
    <w:rsid w:val="004B6B66"/>
    <w:rsid w:val="004C2A79"/>
    <w:rsid w:val="00502254"/>
    <w:rsid w:val="0051598C"/>
    <w:rsid w:val="005461BA"/>
    <w:rsid w:val="005710B5"/>
    <w:rsid w:val="005B22A5"/>
    <w:rsid w:val="005C1170"/>
    <w:rsid w:val="005C7C2A"/>
    <w:rsid w:val="005E000A"/>
    <w:rsid w:val="006236C7"/>
    <w:rsid w:val="00627C7A"/>
    <w:rsid w:val="006548A7"/>
    <w:rsid w:val="00711482"/>
    <w:rsid w:val="00724D84"/>
    <w:rsid w:val="00730CA7"/>
    <w:rsid w:val="007502C0"/>
    <w:rsid w:val="007773DA"/>
    <w:rsid w:val="007844FF"/>
    <w:rsid w:val="007907FD"/>
    <w:rsid w:val="00794F32"/>
    <w:rsid w:val="007B70B0"/>
    <w:rsid w:val="007C2794"/>
    <w:rsid w:val="007C358A"/>
    <w:rsid w:val="007E34F7"/>
    <w:rsid w:val="007E6FCC"/>
    <w:rsid w:val="007F1DB7"/>
    <w:rsid w:val="00812606"/>
    <w:rsid w:val="0081262A"/>
    <w:rsid w:val="00812E91"/>
    <w:rsid w:val="00822087"/>
    <w:rsid w:val="008264D9"/>
    <w:rsid w:val="00835674"/>
    <w:rsid w:val="00847DE1"/>
    <w:rsid w:val="00877FD8"/>
    <w:rsid w:val="008B0358"/>
    <w:rsid w:val="008C7A7A"/>
    <w:rsid w:val="008D657D"/>
    <w:rsid w:val="008E4F97"/>
    <w:rsid w:val="009272B2"/>
    <w:rsid w:val="00935D06"/>
    <w:rsid w:val="00954144"/>
    <w:rsid w:val="00957924"/>
    <w:rsid w:val="0099417C"/>
    <w:rsid w:val="009A595E"/>
    <w:rsid w:val="009B26AB"/>
    <w:rsid w:val="009B3E0F"/>
    <w:rsid w:val="009B55D5"/>
    <w:rsid w:val="009B7A46"/>
    <w:rsid w:val="009D2A1D"/>
    <w:rsid w:val="009D382B"/>
    <w:rsid w:val="00A133BB"/>
    <w:rsid w:val="00A33EBA"/>
    <w:rsid w:val="00A34749"/>
    <w:rsid w:val="00A40612"/>
    <w:rsid w:val="00A67A5B"/>
    <w:rsid w:val="00A94D07"/>
    <w:rsid w:val="00AB22E1"/>
    <w:rsid w:val="00B432CE"/>
    <w:rsid w:val="00B43B5E"/>
    <w:rsid w:val="00B50AFE"/>
    <w:rsid w:val="00B51B57"/>
    <w:rsid w:val="00B5343F"/>
    <w:rsid w:val="00BB660E"/>
    <w:rsid w:val="00C61AE9"/>
    <w:rsid w:val="00C80A4C"/>
    <w:rsid w:val="00C9194D"/>
    <w:rsid w:val="00C93176"/>
    <w:rsid w:val="00CD78B0"/>
    <w:rsid w:val="00D03393"/>
    <w:rsid w:val="00D3087C"/>
    <w:rsid w:val="00D448ED"/>
    <w:rsid w:val="00DA7612"/>
    <w:rsid w:val="00DE08D0"/>
    <w:rsid w:val="00DF0107"/>
    <w:rsid w:val="00E002EE"/>
    <w:rsid w:val="00E00BDF"/>
    <w:rsid w:val="00E607F1"/>
    <w:rsid w:val="00E62B29"/>
    <w:rsid w:val="00E77A59"/>
    <w:rsid w:val="00ED6BD5"/>
    <w:rsid w:val="00F121D0"/>
    <w:rsid w:val="00F15368"/>
    <w:rsid w:val="00F16EC5"/>
    <w:rsid w:val="00F263B0"/>
    <w:rsid w:val="00F374D7"/>
    <w:rsid w:val="00F44F93"/>
    <w:rsid w:val="00F90BCD"/>
    <w:rsid w:val="00FB342E"/>
    <w:rsid w:val="00FC1B24"/>
    <w:rsid w:val="00FC5C8A"/>
    <w:rsid w:val="00FE42B9"/>
    <w:rsid w:val="011411D4"/>
    <w:rsid w:val="012C4384"/>
    <w:rsid w:val="018F23FE"/>
    <w:rsid w:val="01A319FB"/>
    <w:rsid w:val="01EF572E"/>
    <w:rsid w:val="02C00E90"/>
    <w:rsid w:val="02DE3CC3"/>
    <w:rsid w:val="032A2EC2"/>
    <w:rsid w:val="037441B6"/>
    <w:rsid w:val="03B5742C"/>
    <w:rsid w:val="03C30C20"/>
    <w:rsid w:val="03D21FD2"/>
    <w:rsid w:val="03E7444B"/>
    <w:rsid w:val="0409092A"/>
    <w:rsid w:val="041F054D"/>
    <w:rsid w:val="04AF5265"/>
    <w:rsid w:val="04FC0622"/>
    <w:rsid w:val="05486BAC"/>
    <w:rsid w:val="05EA5776"/>
    <w:rsid w:val="06451BDC"/>
    <w:rsid w:val="06515254"/>
    <w:rsid w:val="0696086E"/>
    <w:rsid w:val="06B46E17"/>
    <w:rsid w:val="07D47928"/>
    <w:rsid w:val="07E17B6F"/>
    <w:rsid w:val="0820098B"/>
    <w:rsid w:val="085D2748"/>
    <w:rsid w:val="08853B1B"/>
    <w:rsid w:val="08D51B22"/>
    <w:rsid w:val="08F4242E"/>
    <w:rsid w:val="093649EE"/>
    <w:rsid w:val="099111BE"/>
    <w:rsid w:val="09FA59A3"/>
    <w:rsid w:val="0AA0497A"/>
    <w:rsid w:val="0AFD2E0C"/>
    <w:rsid w:val="0B47065C"/>
    <w:rsid w:val="0B6C7DF0"/>
    <w:rsid w:val="0C762CD4"/>
    <w:rsid w:val="0D073636"/>
    <w:rsid w:val="0D470502"/>
    <w:rsid w:val="0D600EFE"/>
    <w:rsid w:val="0DF31562"/>
    <w:rsid w:val="0E8F435F"/>
    <w:rsid w:val="0EEC778C"/>
    <w:rsid w:val="0F134D9F"/>
    <w:rsid w:val="0FB73D28"/>
    <w:rsid w:val="10664A3F"/>
    <w:rsid w:val="10A02A15"/>
    <w:rsid w:val="119B16A2"/>
    <w:rsid w:val="12246996"/>
    <w:rsid w:val="12581D12"/>
    <w:rsid w:val="13596FCB"/>
    <w:rsid w:val="14A960B4"/>
    <w:rsid w:val="154D3F83"/>
    <w:rsid w:val="15672512"/>
    <w:rsid w:val="15CC5E54"/>
    <w:rsid w:val="162366BE"/>
    <w:rsid w:val="16526560"/>
    <w:rsid w:val="16BA2E55"/>
    <w:rsid w:val="17625E7C"/>
    <w:rsid w:val="179F6ED7"/>
    <w:rsid w:val="189E2A18"/>
    <w:rsid w:val="18E65685"/>
    <w:rsid w:val="19104A16"/>
    <w:rsid w:val="198E2C77"/>
    <w:rsid w:val="19B60574"/>
    <w:rsid w:val="19B95D40"/>
    <w:rsid w:val="1A487BAE"/>
    <w:rsid w:val="1A5819BE"/>
    <w:rsid w:val="1A864A2A"/>
    <w:rsid w:val="1AA41BE6"/>
    <w:rsid w:val="1AC3373F"/>
    <w:rsid w:val="1AE446C7"/>
    <w:rsid w:val="1AF574A9"/>
    <w:rsid w:val="1AFA5418"/>
    <w:rsid w:val="1B3B1C95"/>
    <w:rsid w:val="1B41161E"/>
    <w:rsid w:val="1CA1462E"/>
    <w:rsid w:val="1DA65E17"/>
    <w:rsid w:val="1E014B26"/>
    <w:rsid w:val="1E0F3864"/>
    <w:rsid w:val="1E8A0B5C"/>
    <w:rsid w:val="1EB415A2"/>
    <w:rsid w:val="1F1B7605"/>
    <w:rsid w:val="1F217DA1"/>
    <w:rsid w:val="1FAA3551"/>
    <w:rsid w:val="1FD77AD6"/>
    <w:rsid w:val="20990887"/>
    <w:rsid w:val="20F12E19"/>
    <w:rsid w:val="21453DE1"/>
    <w:rsid w:val="21A22A92"/>
    <w:rsid w:val="21B407B3"/>
    <w:rsid w:val="2241085F"/>
    <w:rsid w:val="22B426D3"/>
    <w:rsid w:val="22CA7B59"/>
    <w:rsid w:val="23582989"/>
    <w:rsid w:val="238A05ED"/>
    <w:rsid w:val="23D230CD"/>
    <w:rsid w:val="24710038"/>
    <w:rsid w:val="247C4A71"/>
    <w:rsid w:val="24FC303A"/>
    <w:rsid w:val="25511D58"/>
    <w:rsid w:val="25AC4123"/>
    <w:rsid w:val="26D03B68"/>
    <w:rsid w:val="280410FC"/>
    <w:rsid w:val="28B94523"/>
    <w:rsid w:val="28DC605B"/>
    <w:rsid w:val="294E1E43"/>
    <w:rsid w:val="299A1C85"/>
    <w:rsid w:val="29D86CB4"/>
    <w:rsid w:val="2A445583"/>
    <w:rsid w:val="2AD21972"/>
    <w:rsid w:val="2B204A2C"/>
    <w:rsid w:val="2B840B33"/>
    <w:rsid w:val="2BB47D8E"/>
    <w:rsid w:val="2CCA5809"/>
    <w:rsid w:val="2CFA5449"/>
    <w:rsid w:val="2D0B0DBF"/>
    <w:rsid w:val="2D850950"/>
    <w:rsid w:val="2DAA1C4C"/>
    <w:rsid w:val="2E176E8B"/>
    <w:rsid w:val="2E1909AE"/>
    <w:rsid w:val="2E257E86"/>
    <w:rsid w:val="2E3F3ECE"/>
    <w:rsid w:val="2E727E44"/>
    <w:rsid w:val="2EB07C80"/>
    <w:rsid w:val="2F5D23FB"/>
    <w:rsid w:val="30395C43"/>
    <w:rsid w:val="30AB443C"/>
    <w:rsid w:val="31DD5420"/>
    <w:rsid w:val="323D4DDE"/>
    <w:rsid w:val="328D53F6"/>
    <w:rsid w:val="32FB467E"/>
    <w:rsid w:val="330907C6"/>
    <w:rsid w:val="3329115D"/>
    <w:rsid w:val="33406722"/>
    <w:rsid w:val="34820CC0"/>
    <w:rsid w:val="34F15A02"/>
    <w:rsid w:val="36213401"/>
    <w:rsid w:val="36B1503E"/>
    <w:rsid w:val="36EB1726"/>
    <w:rsid w:val="370A2E1C"/>
    <w:rsid w:val="376C4DC8"/>
    <w:rsid w:val="37835CC3"/>
    <w:rsid w:val="37842BD6"/>
    <w:rsid w:val="379D7C23"/>
    <w:rsid w:val="389F4D31"/>
    <w:rsid w:val="390E0EFB"/>
    <w:rsid w:val="392B2595"/>
    <w:rsid w:val="395D33E0"/>
    <w:rsid w:val="397F376A"/>
    <w:rsid w:val="39965EB4"/>
    <w:rsid w:val="39D617B9"/>
    <w:rsid w:val="3A013F07"/>
    <w:rsid w:val="3A0E5DF8"/>
    <w:rsid w:val="3A1053F2"/>
    <w:rsid w:val="3A1E65D5"/>
    <w:rsid w:val="3A6026A6"/>
    <w:rsid w:val="3ABD7EF5"/>
    <w:rsid w:val="3AEC0481"/>
    <w:rsid w:val="3AEE2BBB"/>
    <w:rsid w:val="3AFB6916"/>
    <w:rsid w:val="3B6363FD"/>
    <w:rsid w:val="3BB1191E"/>
    <w:rsid w:val="3BC47AA0"/>
    <w:rsid w:val="3C2479A4"/>
    <w:rsid w:val="3C30084A"/>
    <w:rsid w:val="3CF303C5"/>
    <w:rsid w:val="3D2112F8"/>
    <w:rsid w:val="3D6200C1"/>
    <w:rsid w:val="3D66158B"/>
    <w:rsid w:val="3D6A17E0"/>
    <w:rsid w:val="3DB57743"/>
    <w:rsid w:val="3DC61CC7"/>
    <w:rsid w:val="3E2F0725"/>
    <w:rsid w:val="3E533253"/>
    <w:rsid w:val="3E85669A"/>
    <w:rsid w:val="3EE30608"/>
    <w:rsid w:val="3EE96118"/>
    <w:rsid w:val="3F1661DA"/>
    <w:rsid w:val="3F1D32FF"/>
    <w:rsid w:val="3F5D6C6F"/>
    <w:rsid w:val="3F616960"/>
    <w:rsid w:val="3FAE2A19"/>
    <w:rsid w:val="3FD876AC"/>
    <w:rsid w:val="40066FD6"/>
    <w:rsid w:val="400E0FA4"/>
    <w:rsid w:val="405F44A8"/>
    <w:rsid w:val="409E4E03"/>
    <w:rsid w:val="40A548E7"/>
    <w:rsid w:val="40D91B82"/>
    <w:rsid w:val="40F255D5"/>
    <w:rsid w:val="418C25D7"/>
    <w:rsid w:val="41F0148F"/>
    <w:rsid w:val="43F10003"/>
    <w:rsid w:val="44202F4A"/>
    <w:rsid w:val="44330ECF"/>
    <w:rsid w:val="446B6541"/>
    <w:rsid w:val="4500026C"/>
    <w:rsid w:val="450B2EEB"/>
    <w:rsid w:val="45160F99"/>
    <w:rsid w:val="45595C53"/>
    <w:rsid w:val="46150D72"/>
    <w:rsid w:val="46496DB7"/>
    <w:rsid w:val="4666134F"/>
    <w:rsid w:val="46773978"/>
    <w:rsid w:val="46DA4E4A"/>
    <w:rsid w:val="475E7DF6"/>
    <w:rsid w:val="4893018E"/>
    <w:rsid w:val="489F4D85"/>
    <w:rsid w:val="495507FF"/>
    <w:rsid w:val="495F62C2"/>
    <w:rsid w:val="4ABA0E69"/>
    <w:rsid w:val="4B94000C"/>
    <w:rsid w:val="4BE34F89"/>
    <w:rsid w:val="4CB701C3"/>
    <w:rsid w:val="4CCF6D5F"/>
    <w:rsid w:val="4CF77A63"/>
    <w:rsid w:val="4CFF4867"/>
    <w:rsid w:val="4D700A9E"/>
    <w:rsid w:val="4D7B06C9"/>
    <w:rsid w:val="4D7D140D"/>
    <w:rsid w:val="4E703BAC"/>
    <w:rsid w:val="4F203DE0"/>
    <w:rsid w:val="4F387055"/>
    <w:rsid w:val="4F42271C"/>
    <w:rsid w:val="4F5D7FBD"/>
    <w:rsid w:val="4FEE214E"/>
    <w:rsid w:val="4FFA3C5B"/>
    <w:rsid w:val="501025C1"/>
    <w:rsid w:val="50A218B6"/>
    <w:rsid w:val="50AC0FE9"/>
    <w:rsid w:val="50B72F84"/>
    <w:rsid w:val="5114610B"/>
    <w:rsid w:val="5176525C"/>
    <w:rsid w:val="51973257"/>
    <w:rsid w:val="521074C0"/>
    <w:rsid w:val="524938D2"/>
    <w:rsid w:val="52842DED"/>
    <w:rsid w:val="528F5286"/>
    <w:rsid w:val="52E8557B"/>
    <w:rsid w:val="52F0085F"/>
    <w:rsid w:val="532838FB"/>
    <w:rsid w:val="534A724C"/>
    <w:rsid w:val="53901D3A"/>
    <w:rsid w:val="54044563"/>
    <w:rsid w:val="54842565"/>
    <w:rsid w:val="55012536"/>
    <w:rsid w:val="5565143D"/>
    <w:rsid w:val="559D43FA"/>
    <w:rsid w:val="562D330E"/>
    <w:rsid w:val="563C1E65"/>
    <w:rsid w:val="56C87BA2"/>
    <w:rsid w:val="572B1EDA"/>
    <w:rsid w:val="576C274C"/>
    <w:rsid w:val="57893706"/>
    <w:rsid w:val="578E5717"/>
    <w:rsid w:val="58241FEF"/>
    <w:rsid w:val="58550FBC"/>
    <w:rsid w:val="58753BE3"/>
    <w:rsid w:val="58CE39FE"/>
    <w:rsid w:val="594A7EFA"/>
    <w:rsid w:val="5A935193"/>
    <w:rsid w:val="5A964045"/>
    <w:rsid w:val="5AA127B5"/>
    <w:rsid w:val="5B26283F"/>
    <w:rsid w:val="5B6360E6"/>
    <w:rsid w:val="5C65182B"/>
    <w:rsid w:val="5C6C6F31"/>
    <w:rsid w:val="5C8512CA"/>
    <w:rsid w:val="5CAC13C7"/>
    <w:rsid w:val="5D032927"/>
    <w:rsid w:val="5D570811"/>
    <w:rsid w:val="5D586CA6"/>
    <w:rsid w:val="5E5B12F6"/>
    <w:rsid w:val="5E687C70"/>
    <w:rsid w:val="5EDA53F9"/>
    <w:rsid w:val="5EDF21E5"/>
    <w:rsid w:val="5F1B1D0F"/>
    <w:rsid w:val="5F2C1BBC"/>
    <w:rsid w:val="5F6366B5"/>
    <w:rsid w:val="5F702813"/>
    <w:rsid w:val="5F7E0B04"/>
    <w:rsid w:val="61063DBC"/>
    <w:rsid w:val="61BA4586"/>
    <w:rsid w:val="620D6760"/>
    <w:rsid w:val="62685F81"/>
    <w:rsid w:val="626B0604"/>
    <w:rsid w:val="627B391D"/>
    <w:rsid w:val="6283706E"/>
    <w:rsid w:val="6332277A"/>
    <w:rsid w:val="642E0910"/>
    <w:rsid w:val="645D6C69"/>
    <w:rsid w:val="64733A58"/>
    <w:rsid w:val="6645421B"/>
    <w:rsid w:val="667322A4"/>
    <w:rsid w:val="66BE4A00"/>
    <w:rsid w:val="66BF0F11"/>
    <w:rsid w:val="66D41CA7"/>
    <w:rsid w:val="66E77DA2"/>
    <w:rsid w:val="67082C0B"/>
    <w:rsid w:val="67803B7C"/>
    <w:rsid w:val="680448CE"/>
    <w:rsid w:val="68F640F6"/>
    <w:rsid w:val="69857BF6"/>
    <w:rsid w:val="69EA149B"/>
    <w:rsid w:val="6A0D5B9B"/>
    <w:rsid w:val="6A1119AC"/>
    <w:rsid w:val="6A6C26E4"/>
    <w:rsid w:val="6AA10091"/>
    <w:rsid w:val="6AA37627"/>
    <w:rsid w:val="6AD50D4D"/>
    <w:rsid w:val="6B0A716E"/>
    <w:rsid w:val="6B7F4780"/>
    <w:rsid w:val="6B94633D"/>
    <w:rsid w:val="6BCB3F20"/>
    <w:rsid w:val="6BCC3834"/>
    <w:rsid w:val="6BF03A15"/>
    <w:rsid w:val="6C302697"/>
    <w:rsid w:val="6C871509"/>
    <w:rsid w:val="6C967816"/>
    <w:rsid w:val="6CAB5063"/>
    <w:rsid w:val="6CCE2F87"/>
    <w:rsid w:val="6D2B2A93"/>
    <w:rsid w:val="6D4F0278"/>
    <w:rsid w:val="6D543AE1"/>
    <w:rsid w:val="6D70536E"/>
    <w:rsid w:val="6E12638C"/>
    <w:rsid w:val="6E6D4854"/>
    <w:rsid w:val="6EE113A4"/>
    <w:rsid w:val="6FB5018B"/>
    <w:rsid w:val="703C2DEF"/>
    <w:rsid w:val="703F3234"/>
    <w:rsid w:val="704D7FCB"/>
    <w:rsid w:val="70A30AC2"/>
    <w:rsid w:val="71032079"/>
    <w:rsid w:val="717444C5"/>
    <w:rsid w:val="719B7D21"/>
    <w:rsid w:val="71DE0346"/>
    <w:rsid w:val="7246376D"/>
    <w:rsid w:val="72916C3D"/>
    <w:rsid w:val="72F85224"/>
    <w:rsid w:val="730E308A"/>
    <w:rsid w:val="73AE27C6"/>
    <w:rsid w:val="742513F8"/>
    <w:rsid w:val="74E27809"/>
    <w:rsid w:val="74FF73E9"/>
    <w:rsid w:val="75041948"/>
    <w:rsid w:val="76AC2E78"/>
    <w:rsid w:val="771479EA"/>
    <w:rsid w:val="776E5551"/>
    <w:rsid w:val="77866F8C"/>
    <w:rsid w:val="779E1EC9"/>
    <w:rsid w:val="77B773B0"/>
    <w:rsid w:val="79694493"/>
    <w:rsid w:val="7A0D6597"/>
    <w:rsid w:val="7A970930"/>
    <w:rsid w:val="7AC06271"/>
    <w:rsid w:val="7ACA0C10"/>
    <w:rsid w:val="7B913459"/>
    <w:rsid w:val="7BEB5131"/>
    <w:rsid w:val="7BFC01F8"/>
    <w:rsid w:val="7DBB1900"/>
    <w:rsid w:val="7DCD3702"/>
    <w:rsid w:val="7DD4103E"/>
    <w:rsid w:val="7DD54CFD"/>
    <w:rsid w:val="7EB40E3E"/>
    <w:rsid w:val="7EF47601"/>
    <w:rsid w:val="7F013C16"/>
    <w:rsid w:val="7F2B002F"/>
    <w:rsid w:val="7FF007FC"/>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spacing w:after="120"/>
    </w:pPr>
  </w:style>
  <w:style w:type="paragraph" w:styleId="5">
    <w:name w:val="table of authorities"/>
    <w:basedOn w:val="1"/>
    <w:next w:val="1"/>
    <w:unhideWhenUsed/>
    <w:qFormat/>
    <w:uiPriority w:val="99"/>
  </w:style>
  <w:style w:type="paragraph" w:styleId="6">
    <w:name w:val="Normal Indent"/>
    <w:qFormat/>
    <w:uiPriority w:val="0"/>
    <w:pPr>
      <w:widowControl w:val="0"/>
      <w:spacing w:before="156" w:beforeLines="50" w:line="360" w:lineRule="auto"/>
      <w:ind w:firstLine="200" w:firstLineChars="200"/>
      <w:jc w:val="both"/>
    </w:pPr>
    <w:rPr>
      <w:rFonts w:ascii="仿宋_GB2312" w:eastAsia="仿宋_GB2312" w:hAnsiTheme="minorHAnsi" w:cstheme="minorBidi"/>
      <w:kern w:val="2"/>
      <w:sz w:val="24"/>
      <w:szCs w:val="32"/>
      <w:lang w:val="en-US" w:eastAsia="zh-CN" w:bidi="ar-SA"/>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Cambria" w:hAnsi="Cambria" w:eastAsia="宋体" w:cs="Times New Roman"/>
    </w:rPr>
  </w:style>
  <w:style w:type="paragraph" w:styleId="10">
    <w:name w:val="Plain Text"/>
    <w:basedOn w:val="1"/>
    <w:link w:val="29"/>
    <w:qFormat/>
    <w:uiPriority w:val="0"/>
    <w:rPr>
      <w:rFonts w:ascii="宋体" w:hAnsi="Courier New"/>
    </w:rPr>
  </w:style>
  <w:style w:type="paragraph" w:styleId="11">
    <w:name w:val="Date"/>
    <w:basedOn w:val="1"/>
    <w:next w:val="1"/>
    <w:qFormat/>
    <w:uiPriority w:val="0"/>
    <w:pPr>
      <w:adjustRightInd w:val="0"/>
      <w:spacing w:line="360" w:lineRule="atLeast"/>
    </w:pPr>
    <w:rPr>
      <w:rFonts w:ascii="宋体" w:hAnsi="Times New Roman"/>
      <w:kern w:val="0"/>
      <w:sz w:val="24"/>
      <w:szCs w:val="20"/>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8"/>
    <w:next w:val="16"/>
    <w:qFormat/>
    <w:uiPriority w:val="0"/>
    <w:pPr>
      <w:spacing w:after="0"/>
      <w:ind w:left="0" w:leftChars="0" w:firstLine="420" w:firstLineChars="200"/>
    </w:pPr>
    <w:rPr>
      <w:rFonts w:ascii="仿宋_GB2312" w:eastAsia="仿宋_GB2312"/>
      <w:sz w:val="30"/>
      <w:szCs w:val="20"/>
    </w:rPr>
  </w:style>
  <w:style w:type="paragraph" w:customStyle="1" w:styleId="1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basedOn w:val="19"/>
    <w:semiHidden/>
    <w:unhideWhenUsed/>
    <w:qFormat/>
    <w:uiPriority w:val="99"/>
    <w:rPr>
      <w:sz w:val="21"/>
      <w:szCs w:val="21"/>
    </w:rPr>
  </w:style>
  <w:style w:type="paragraph" w:customStyle="1" w:styleId="22">
    <w:name w:val="TOC 标题1"/>
    <w:basedOn w:val="23"/>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23">
    <w:name w:val="【正文】"/>
    <w:basedOn w:val="1"/>
    <w:qFormat/>
    <w:uiPriority w:val="0"/>
    <w:pPr>
      <w:ind w:firstLine="480" w:firstLineChars="200"/>
    </w:pPr>
    <w:rPr>
      <w:rFonts w:ascii="Calibri" w:hAnsi="Calibri" w:cs="DokChampa"/>
      <w:sz w:val="24"/>
      <w:szCs w:val="22"/>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Text"/>
    <w:basedOn w:val="1"/>
    <w:qFormat/>
    <w:uiPriority w:val="0"/>
    <w:pPr>
      <w:ind w:left="1021"/>
    </w:pPr>
    <w:rPr>
      <w:rFonts w:ascii="Calibri" w:hAnsi="Calibri"/>
    </w:rPr>
  </w:style>
  <w:style w:type="character" w:customStyle="1" w:styleId="26">
    <w:name w:val="正文文本 字符"/>
    <w:basedOn w:val="19"/>
    <w:link w:val="2"/>
    <w:qFormat/>
    <w:uiPriority w:val="0"/>
    <w:rPr>
      <w:rFonts w:asciiTheme="minorHAnsi" w:hAnsiTheme="minorHAnsi" w:eastAsiaTheme="minorEastAsia" w:cstheme="minorBidi"/>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9"/>
    <w:link w:val="3"/>
    <w:qFormat/>
    <w:uiPriority w:val="0"/>
    <w:rPr>
      <w:rFonts w:asciiTheme="minorHAnsi" w:hAnsiTheme="minorHAnsi" w:eastAsiaTheme="minorEastAsia" w:cstheme="minorBidi"/>
      <w:b/>
      <w:bCs/>
      <w:kern w:val="44"/>
      <w:sz w:val="44"/>
      <w:szCs w:val="44"/>
    </w:rPr>
  </w:style>
  <w:style w:type="character" w:customStyle="1" w:styleId="29">
    <w:name w:val="纯文本 字符"/>
    <w:basedOn w:val="19"/>
    <w:link w:val="10"/>
    <w:qFormat/>
    <w:uiPriority w:val="0"/>
    <w:rPr>
      <w:rFonts w:ascii="宋体" w:hAnsi="Courier New" w:eastAsiaTheme="minorEastAsia" w:cstheme="minorBidi"/>
      <w:kern w:val="2"/>
      <w:sz w:val="21"/>
      <w:szCs w:val="24"/>
    </w:rPr>
  </w:style>
  <w:style w:type="character" w:customStyle="1" w:styleId="30">
    <w:name w:val="页脚 字符"/>
    <w:basedOn w:val="19"/>
    <w:link w:val="12"/>
    <w:qFormat/>
    <w:uiPriority w:val="0"/>
    <w:rPr>
      <w:rFonts w:asciiTheme="minorHAnsi" w:hAnsiTheme="minorHAnsi" w:eastAsiaTheme="minorEastAsia" w:cstheme="minorBidi"/>
      <w:kern w:val="2"/>
      <w:sz w:val="18"/>
      <w:szCs w:val="18"/>
    </w:rPr>
  </w:style>
  <w:style w:type="character" w:customStyle="1" w:styleId="31">
    <w:name w:val="font41"/>
    <w:basedOn w:val="19"/>
    <w:qFormat/>
    <w:uiPriority w:val="0"/>
    <w:rPr>
      <w:rFonts w:hint="eastAsia" w:ascii="宋体" w:hAnsi="宋体" w:eastAsia="宋体" w:cs="宋体"/>
      <w:color w:val="000000"/>
      <w:sz w:val="21"/>
      <w:szCs w:val="21"/>
      <w:u w:val="none"/>
    </w:rPr>
  </w:style>
  <w:style w:type="character" w:customStyle="1" w:styleId="32">
    <w:name w:val="font01"/>
    <w:basedOn w:val="19"/>
    <w:qFormat/>
    <w:uiPriority w:val="0"/>
    <w:rPr>
      <w:rFonts w:ascii="Segoe UI" w:hAnsi="Segoe UI" w:eastAsia="Segoe UI" w:cs="Segoe UI"/>
      <w:color w:val="000000"/>
      <w:sz w:val="21"/>
      <w:szCs w:val="21"/>
      <w:u w:val="none"/>
    </w:rPr>
  </w:style>
  <w:style w:type="paragraph" w:customStyle="1" w:styleId="33">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35">
    <w:name w:val="．正文"/>
    <w:basedOn w:val="1"/>
    <w:qFormat/>
    <w:uiPriority w:val="0"/>
    <w:pPr>
      <w:spacing w:line="360" w:lineRule="auto"/>
      <w:ind w:firstLine="200" w:firstLineChars="200"/>
    </w:pPr>
    <w:rPr>
      <w:rFonts w:ascii="Calibri" w:hAnsi="Calibri"/>
      <w:kern w:val="0"/>
      <w:sz w:val="24"/>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7119</Words>
  <Characters>7324</Characters>
  <Lines>60</Lines>
  <Paragraphs>17</Paragraphs>
  <TotalTime>0</TotalTime>
  <ScaleCrop>false</ScaleCrop>
  <LinksUpToDate>false</LinksUpToDate>
  <CharactersWithSpaces>8035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2022-04-26T08:48:00Z</dcterms:created>
  <dc:creator>一万只神兽奔走</dc:creator>
  <cp:lastModifiedBy>123</cp:lastModifiedBy>
  <dcterms:modified xsi:type="dcterms:W3CDTF">2022-12-15T02:58:27Z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EAFC4E5D3DE844D491388A4DDC44A8AC</vt:lpwstr>
  </property>
  <property fmtid="{D5CDD505-2E9C-101B-9397-08002B2CF9AE}" pid="4" name="commondata">
    <vt:lpwstr>eyJoZGlkIjoiNzAwNTAyYzI2OWU3MzZiZTIwMjkyZWIxZjBkNTkzNjUifQ==</vt:lpwstr>
  </property>
</Properties>
</file>