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合肥数投2022年安徽省级地方</w:t>
      </w:r>
      <w:r>
        <w:rPr>
          <w:rFonts w:hint="eastAsia" w:ascii="方正小标宋简体" w:hAnsi="方正小标宋简体" w:eastAsia="方正小标宋简体" w:cs="方正小标宋简体"/>
          <w:sz w:val="40"/>
          <w:szCs w:val="40"/>
        </w:rPr>
        <w:t>标准</w:t>
      </w:r>
      <w:r>
        <w:rPr>
          <w:rFonts w:hint="eastAsia" w:ascii="方正小标宋简体" w:hAnsi="方正小标宋简体" w:eastAsia="方正小标宋简体" w:cs="方正小标宋简体"/>
          <w:sz w:val="40"/>
          <w:szCs w:val="40"/>
          <w:lang w:val="en-US" w:eastAsia="zh-CN"/>
        </w:rPr>
        <w:t>制定</w:t>
      </w:r>
      <w:r>
        <w:rPr>
          <w:rFonts w:hint="eastAsia" w:ascii="方正小标宋简体" w:hAnsi="方正小标宋简体" w:eastAsia="方正小标宋简体" w:cs="方正小标宋简体"/>
          <w:sz w:val="40"/>
          <w:szCs w:val="40"/>
        </w:rPr>
        <w:t>服务</w:t>
      </w:r>
    </w:p>
    <w:p>
      <w:pPr>
        <w:pStyle w:val="6"/>
        <w:jc w:val="center"/>
      </w:pPr>
      <w:r>
        <w:rPr>
          <w:rFonts w:hint="eastAsia" w:ascii="方正小标宋简体" w:hAnsi="方正小标宋简体" w:eastAsia="方正小标宋简体" w:cs="方正小标宋简体"/>
          <w:sz w:val="40"/>
          <w:szCs w:val="40"/>
        </w:rPr>
        <w:t>询比采购文件</w:t>
      </w:r>
    </w:p>
    <w:p>
      <w:pPr>
        <w:pStyle w:val="7"/>
        <w:spacing w:after="0" w:line="592"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一、项目概况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sz w:val="32"/>
          <w:szCs w:val="32"/>
          <w:lang w:val="en-US" w:eastAsia="zh-CN"/>
        </w:rPr>
        <w:t>合肥数投2022年</w:t>
      </w:r>
      <w:r>
        <w:rPr>
          <w:rFonts w:hint="eastAsia" w:ascii="仿宋_GB2312" w:hAnsi="仿宋_GB2312" w:eastAsia="仿宋_GB2312" w:cs="仿宋_GB2312"/>
          <w:sz w:val="32"/>
          <w:szCs w:val="32"/>
        </w:rPr>
        <w:t>安徽省级地方标准</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服务</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（二）项目预算：</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万元</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（三）项目地点：安徽省合肥市</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（四）项目单位：合肥市数智城市投资运营有限公司</w:t>
      </w:r>
    </w:p>
    <w:p>
      <w:pPr>
        <w:pStyle w:val="18"/>
        <w:spacing w:line="560" w:lineRule="exact"/>
        <w:ind w:lef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（五）采购方式：</w:t>
      </w:r>
      <w:r>
        <w:rPr>
          <w:rFonts w:hint="eastAsia" w:ascii="仿宋_GB2312" w:hAnsi="仿宋_GB2312" w:eastAsia="仿宋_GB2312" w:cs="仿宋_GB2312"/>
          <w:sz w:val="32"/>
          <w:szCs w:val="32"/>
          <w:lang w:val="en-US" w:eastAsia="zh-CN"/>
        </w:rPr>
        <w:t>询比</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（六）评标方法：综合评分法</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（七）服务期限： 需</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b/>
          <w:bCs/>
          <w:sz w:val="32"/>
          <w:szCs w:val="32"/>
        </w:rPr>
        <w:t>2023年5月31日</w:t>
      </w:r>
      <w:r>
        <w:rPr>
          <w:rFonts w:hint="eastAsia" w:ascii="仿宋_GB2312" w:hAnsi="仿宋_GB2312" w:eastAsia="仿宋_GB2312" w:cs="仿宋_GB2312"/>
          <w:sz w:val="32"/>
          <w:szCs w:val="32"/>
        </w:rPr>
        <w:t>前完成标准报批工作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2023年12月完成本项目所有服务内容。</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（八）支付方式：签订合同后支付</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0%首付款，经安徽省市场监督管理局标准发布后支付</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0%合同款。</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二、服务内容</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智慧城市建设已成为新基建重要组成部分，我省“十四五规划纲要”也提出了建设新型智慧城市建设，以及关于智慧社区建设的相关要求，结合公司自身工作需求，拟编制智慧社区和单位楼宇建设标准规范。</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的公司应具备法律规定的相关资格、资质、专业能力及服务经验，具有良好的职业道德。供应商需了解安徽省级地方标准制定的流程和各环节基本要求，具备信息技术类标准制定的基本能力，制定的标准能满足我司标准化需求。供应商需负责制定《智慧社区 公共安全数据项规范》《单位楼宇智慧安防系统建设指南》共计2项省级地方标准。</w:t>
      </w:r>
    </w:p>
    <w:p>
      <w:pPr>
        <w:pStyle w:val="20"/>
        <w:ind w:firstLine="643"/>
        <w:outlineLvl w:val="1"/>
        <w:rPr>
          <w:rFonts w:ascii="仿宋" w:hAnsi="仿宋" w:eastAsia="仿宋" w:cs="仿宋"/>
          <w:b/>
          <w:bCs/>
          <w:sz w:val="32"/>
          <w:szCs w:val="32"/>
        </w:rPr>
      </w:pPr>
      <w:r>
        <w:rPr>
          <w:rFonts w:hint="eastAsia" w:ascii="仿宋" w:hAnsi="仿宋" w:eastAsia="仿宋" w:cs="仿宋"/>
          <w:b/>
          <w:bCs/>
          <w:sz w:val="32"/>
          <w:szCs w:val="32"/>
        </w:rPr>
        <w:t>（一）具体服务内容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《单位楼宇智慧安防系统建设指南》主要包括以下技术内容：术语和定义、建设内容、建设要求、建设程序和安全要求共5个部分。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《智慧社区 公共安全数据项规范》主要包括以下技术内容：术语和定义、声明、数据项属性和基本数据项共4个部分。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供应商主要服务内容：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组建专业化标准咨询服务团队，明确标准研制各阶段推进计划安排，及时传达标准制定工作的进展情况。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2.全过程支撑标准制定，涵盖草案编制、对外征求意见汇总修改、标准送审及报批等各阶段各环节。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3.高质量支撑标准研究，协助采购方共同开展标准调研和验证工作，以期构建科学合理、全面系统、层次清晰的标准文本。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4.制定完成的相关标准应符合采购方应用需求，并通过行业主管部门组织的专家审查，及时发布与实施。</w:t>
      </w:r>
    </w:p>
    <w:p>
      <w:pPr>
        <w:pStyle w:val="20"/>
        <w:ind w:firstLine="643"/>
        <w:outlineLvl w:val="1"/>
        <w:rPr>
          <w:rFonts w:ascii="仿宋" w:hAnsi="仿宋" w:eastAsia="仿宋" w:cs="仿宋"/>
          <w:b/>
          <w:bCs/>
          <w:sz w:val="32"/>
          <w:szCs w:val="32"/>
        </w:rPr>
      </w:pPr>
      <w:r>
        <w:rPr>
          <w:rFonts w:hint="eastAsia" w:ascii="仿宋" w:hAnsi="仿宋" w:eastAsia="仿宋" w:cs="仿宋"/>
          <w:b/>
          <w:bCs/>
          <w:sz w:val="32"/>
          <w:szCs w:val="32"/>
        </w:rPr>
        <w:t>（二）服务质量要求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供应商应坚持科学性、全面性、可操作性原则，充分考虑当前最新技术水平和市场情况，并以此制定相应标准。</w:t>
      </w:r>
    </w:p>
    <w:p>
      <w:pPr>
        <w:pStyle w:val="20"/>
        <w:ind w:firstLine="643"/>
        <w:outlineLvl w:val="1"/>
        <w:rPr>
          <w:rFonts w:ascii="仿宋" w:hAnsi="仿宋" w:eastAsia="仿宋" w:cs="仿宋"/>
          <w:b/>
          <w:bCs/>
          <w:sz w:val="32"/>
          <w:szCs w:val="32"/>
        </w:rPr>
      </w:pPr>
      <w:r>
        <w:rPr>
          <w:rFonts w:hint="eastAsia" w:ascii="仿宋" w:hAnsi="仿宋" w:eastAsia="仿宋" w:cs="仿宋"/>
          <w:b/>
          <w:bCs/>
          <w:sz w:val="32"/>
          <w:szCs w:val="32"/>
        </w:rPr>
        <w:t>（三）人员配备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驻场人员2名，分别为标准化专业领域1名和信息技术领域1名。技术人员应每周驻场2天。</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三、供应商资格</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1.具有独立法人的资格，具有有效的营业执照；</w:t>
      </w:r>
    </w:p>
    <w:p>
      <w:pPr>
        <w:pStyle w:val="18"/>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.符合《中华人民共和国政府采购法》第二十二条的规定；</w:t>
      </w:r>
    </w:p>
    <w:p>
      <w:pPr>
        <w:pStyle w:val="18"/>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.本项目不接受联合申报；</w:t>
      </w:r>
    </w:p>
    <w:p>
      <w:pPr>
        <w:pStyle w:val="18"/>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.供应商负面清单，存在不良信用信息记录且有以下情形之一的，将被视为无效询价响应：</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（1）被人民法院列入失信被执行人的;</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（2）供应商或其法定代表人或拟派项目经理(项目负责人)被人民检察院列入行贿犯罪档案的;</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（3）被工商行政管理部门列入企业经营异常名录的;</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（4）被税务部门列入重大税收违法案件当事人名单的;</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（5）被政府采购监管部门列入政府采购严重违法失信行为记录名单的。</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四、联系方式</w:t>
      </w:r>
    </w:p>
    <w:p>
      <w:pPr>
        <w:pStyle w:val="18"/>
        <w:spacing w:line="560" w:lineRule="exact"/>
        <w:ind w:lef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联系人及联系方式：王工  </w:t>
      </w:r>
      <w:r>
        <w:rPr>
          <w:rFonts w:hint="eastAsia" w:ascii="仿宋_GB2312" w:hAnsi="仿宋_GB2312" w:eastAsia="仿宋_GB2312" w:cs="仿宋_GB2312"/>
          <w:sz w:val="32"/>
          <w:szCs w:val="32"/>
          <w:lang w:val="en-US" w:eastAsia="zh-CN"/>
        </w:rPr>
        <w:t>0551 66692260</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地址：安徽省合肥市蜀山区湖光路1201号自主创新产业基地三期（南区）B座14层。</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五、报价要求</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项目总报价不超过</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万元，否则视为报价无效。总报价包含完成本项目产生的一切费用，本次评标专家费由中标单位承担（专家费用支付节点以招标人要求为准）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供应商单位后期不得以任何理由向本公司追加费用，供应商报价时应综合考虑报价风险。</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六、评标办法</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项目采取综合评分法进行评审，满分100分。评标工作将由合肥市数智城市投资运营有限公司组织，组成评标委员会，负责本项目的评标工作。由评标委员会对投标文件进行资格审查及符合性审查，对于通过审查的投标文件进行综合评定。具体评定要求及得分占比如下：</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具体评分细则如下：</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558"/>
        <w:gridCol w:w="546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9"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类别</w:t>
            </w:r>
          </w:p>
        </w:tc>
        <w:tc>
          <w:tcPr>
            <w:tcW w:w="914"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评分内容</w:t>
            </w:r>
          </w:p>
        </w:tc>
        <w:tc>
          <w:tcPr>
            <w:tcW w:w="3208"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评分标准</w:t>
            </w:r>
          </w:p>
        </w:tc>
        <w:tc>
          <w:tcPr>
            <w:tcW w:w="439" w:type="pct"/>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39" w:type="pct"/>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资信分（</w:t>
            </w:r>
            <w:r>
              <w:rPr>
                <w:rFonts w:ascii="仿宋" w:hAnsi="仿宋" w:eastAsia="仿宋" w:cs="宋体"/>
                <w:color w:val="000000"/>
                <w:kern w:val="0"/>
                <w:sz w:val="24"/>
              </w:rPr>
              <w:t>45</w:t>
            </w:r>
            <w:r>
              <w:rPr>
                <w:rFonts w:hint="eastAsia" w:ascii="仿宋" w:hAnsi="仿宋" w:eastAsia="仿宋" w:cs="宋体"/>
                <w:color w:val="000000"/>
                <w:kern w:val="0"/>
                <w:sz w:val="24"/>
              </w:rPr>
              <w:t>分）</w:t>
            </w:r>
          </w:p>
        </w:tc>
        <w:tc>
          <w:tcPr>
            <w:tcW w:w="914"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供应商业绩</w:t>
            </w:r>
          </w:p>
        </w:tc>
        <w:tc>
          <w:tcPr>
            <w:tcW w:w="3208" w:type="pct"/>
            <w:shd w:val="clear" w:color="auto" w:fill="auto"/>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自2020年1月1日以来，供应商承担过（作为第一起草单位）信息技术类国家标准、行业标准制修订工作的，每提供一个业绩得5分，满分10分。</w:t>
            </w:r>
          </w:p>
          <w:p>
            <w:pPr>
              <w:widowControl/>
              <w:jc w:val="left"/>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自2018年1月1日以来，供应商作为参与单位承担过国家标准、行业标准制修订工作的，每提供一个业绩得2分，满分4分。</w:t>
            </w:r>
          </w:p>
          <w:p>
            <w:pPr>
              <w:widowControl/>
              <w:jc w:val="left"/>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自2018年1月1日以来，供应商承担过省级地方标准制修订工作的，每提供一个得1分，满分2分。</w:t>
            </w:r>
          </w:p>
          <w:p>
            <w:pPr>
              <w:widowControl/>
              <w:jc w:val="left"/>
              <w:rPr>
                <w:rFonts w:ascii="仿宋" w:hAnsi="仿宋" w:eastAsia="仿宋" w:cs="宋体"/>
                <w:color w:val="000000"/>
                <w:kern w:val="0"/>
                <w:sz w:val="24"/>
              </w:rPr>
            </w:pPr>
            <w:r>
              <w:rPr>
                <w:rFonts w:ascii="仿宋" w:hAnsi="仿宋" w:eastAsia="仿宋" w:cs="宋体"/>
                <w:color w:val="000000"/>
                <w:kern w:val="0"/>
                <w:sz w:val="24"/>
              </w:rPr>
              <w:t>4.</w:t>
            </w:r>
            <w:r>
              <w:rPr>
                <w:rFonts w:hint="eastAsia" w:ascii="仿宋" w:hAnsi="仿宋" w:eastAsia="仿宋" w:cs="宋体"/>
                <w:color w:val="000000"/>
                <w:kern w:val="0"/>
                <w:sz w:val="24"/>
              </w:rPr>
              <w:t>供应商主持过省部级及以上标准化项目研究的，每提供一个业绩得2分，满分4分。</w:t>
            </w:r>
          </w:p>
          <w:p>
            <w:pPr>
              <w:widowControl/>
              <w:jc w:val="left"/>
              <w:rPr>
                <w:rFonts w:ascii="仿宋" w:hAnsi="仿宋" w:eastAsia="仿宋" w:cs="宋体"/>
                <w:color w:val="000000"/>
                <w:kern w:val="0"/>
                <w:sz w:val="24"/>
              </w:rPr>
            </w:pPr>
            <w:r>
              <w:rPr>
                <w:rFonts w:hint="eastAsia" w:ascii="仿宋" w:hAnsi="仿宋" w:eastAsia="仿宋" w:cs="宋体"/>
                <w:b/>
                <w:bCs/>
                <w:color w:val="000000"/>
                <w:kern w:val="0"/>
                <w:sz w:val="24"/>
              </w:rPr>
              <w:t>注：</w:t>
            </w:r>
            <w:r>
              <w:rPr>
                <w:rFonts w:hint="eastAsia" w:ascii="仿宋" w:hAnsi="仿宋" w:eastAsia="仿宋" w:cs="宋体"/>
                <w:color w:val="000000"/>
                <w:kern w:val="0"/>
                <w:sz w:val="24"/>
              </w:rPr>
              <w:t>（1）以上业绩包括已完成和正在履约的，时间以批准时间为</w:t>
            </w:r>
            <w:r>
              <w:rPr>
                <w:rFonts w:hint="eastAsia" w:ascii="仿宋" w:hAnsi="仿宋" w:eastAsia="仿宋" w:cs="宋体"/>
                <w:color w:val="000000"/>
                <w:kern w:val="0"/>
                <w:sz w:val="24"/>
                <w:lang w:val="en-US" w:eastAsia="zh-CN"/>
              </w:rPr>
              <w:t>准</w:t>
            </w:r>
            <w:r>
              <w:rPr>
                <w:rFonts w:hint="eastAsia" w:ascii="仿宋" w:hAnsi="仿宋" w:eastAsia="仿宋" w:cs="宋体"/>
                <w:color w:val="000000"/>
                <w:kern w:val="0"/>
                <w:sz w:val="24"/>
              </w:rPr>
              <w:t>。</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（2）响应文件中提供业绩合同（或标准文本、刊物关键页）影印件。</w:t>
            </w:r>
          </w:p>
        </w:tc>
        <w:tc>
          <w:tcPr>
            <w:tcW w:w="439"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w:t>
            </w:r>
            <w:r>
              <w:rPr>
                <w:rFonts w:ascii="仿宋" w:hAnsi="仿宋" w:eastAsia="仿宋" w:cs="宋体"/>
                <w:color w:val="000000"/>
                <w:kern w:val="0"/>
                <w:sz w:val="24"/>
              </w:rPr>
              <w:t>20</w:t>
            </w:r>
            <w:r>
              <w:rPr>
                <w:rFonts w:hint="eastAsia" w:ascii="仿宋" w:hAnsi="仿宋" w:eastAsia="仿宋"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9" w:type="pct"/>
            <w:vMerge w:val="continue"/>
            <w:vAlign w:val="center"/>
          </w:tcPr>
          <w:p>
            <w:pPr>
              <w:widowControl/>
              <w:jc w:val="left"/>
              <w:rPr>
                <w:rFonts w:ascii="仿宋" w:hAnsi="仿宋" w:eastAsia="仿宋" w:cs="宋体"/>
                <w:color w:val="000000"/>
                <w:kern w:val="0"/>
                <w:sz w:val="24"/>
              </w:rPr>
            </w:pPr>
          </w:p>
        </w:tc>
        <w:tc>
          <w:tcPr>
            <w:tcW w:w="914"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人员配备</w:t>
            </w:r>
          </w:p>
        </w:tc>
        <w:tc>
          <w:tcPr>
            <w:tcW w:w="3208" w:type="pct"/>
            <w:shd w:val="clear" w:color="auto" w:fill="auto"/>
          </w:tcPr>
          <w:p>
            <w:pPr>
              <w:widowControl/>
              <w:jc w:val="left"/>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项目负责人（1人，最高分</w:t>
            </w:r>
            <w:r>
              <w:rPr>
                <w:rFonts w:ascii="仿宋" w:hAnsi="仿宋" w:eastAsia="仿宋" w:cs="宋体"/>
                <w:color w:val="000000"/>
                <w:kern w:val="0"/>
                <w:sz w:val="24"/>
              </w:rPr>
              <w:t>5</w:t>
            </w:r>
            <w:r>
              <w:rPr>
                <w:rFonts w:hint="eastAsia" w:ascii="仿宋" w:hAnsi="仿宋" w:eastAsia="仿宋" w:cs="宋体"/>
                <w:color w:val="000000"/>
                <w:kern w:val="0"/>
                <w:sz w:val="24"/>
              </w:rPr>
              <w:t>分）：</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具有正高级工程师职称或主持过省部级</w:t>
            </w:r>
            <w:r>
              <w:rPr>
                <w:rFonts w:hint="eastAsia" w:ascii="仿宋" w:hAnsi="仿宋" w:eastAsia="仿宋" w:cs="宋体"/>
                <w:color w:val="000000"/>
                <w:kern w:val="0"/>
                <w:sz w:val="24"/>
                <w:lang w:val="en-US" w:eastAsia="zh-CN"/>
              </w:rPr>
              <w:t>及</w:t>
            </w:r>
            <w:r>
              <w:rPr>
                <w:rFonts w:hint="eastAsia" w:ascii="仿宋" w:hAnsi="仿宋" w:eastAsia="仿宋" w:cs="宋体"/>
                <w:color w:val="000000"/>
                <w:kern w:val="0"/>
                <w:sz w:val="24"/>
              </w:rPr>
              <w:t>以上科研项目的，得5分。</w:t>
            </w:r>
          </w:p>
          <w:p>
            <w:pPr>
              <w:widowControl/>
              <w:jc w:val="left"/>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项目组成员（项目负责人除外，满分16分）：</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（1）具备高级工程师的，每提供1人得3分，本小项满分6分。</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（2）参与省部级及以上标准化项目研究或标准制修订的，每提供一人得2分，本小项满分10分。</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3、驻场技术人员（满分4分）</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（1）具备标准化领域工作经历的得2分；</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（2）具有信息系统项目管理师证书的得2分。</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注：响应文件中提供职称证书影印件；</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响应文件中提供业绩合同（或标准文本、刊物关键页）影印件，合同（或标准文本、刊物关键页）中须体现课题类型、人员姓名等内容；同时还须提供投标供应商为上述人员缴纳的近6个月内任一连续3个月的社保证明（社保缴纳时间为投标截止时间所在月份及投标截止时间所在月份往前追溯6个月内的任一连续3个月作为评审依据。</w:t>
            </w:r>
          </w:p>
          <w:p>
            <w:pPr>
              <w:widowControl/>
              <w:rPr>
                <w:rFonts w:ascii="仿宋" w:hAnsi="仿宋" w:eastAsia="仿宋" w:cs="宋体"/>
                <w:color w:val="000000"/>
                <w:kern w:val="0"/>
                <w:sz w:val="24"/>
              </w:rPr>
            </w:pPr>
            <w:r>
              <w:rPr>
                <w:rFonts w:hint="eastAsia" w:ascii="仿宋" w:hAnsi="仿宋" w:eastAsia="仿宋" w:cs="宋体"/>
                <w:color w:val="000000"/>
                <w:kern w:val="0"/>
                <w:sz w:val="24"/>
              </w:rPr>
              <w:t>社保证明材料可具体通过下述形式之一：（1）社保局官方网站查询的缴费记录截图；（2）社保局的书面证明材料；（3）经投标供应商委托的第三方人力资源服务机构或与投标供应商有直接隶属关系的机构可以代缴社保，但须提供有关证明材料并经评标委员会确认；（4）其他经评标委员会认可的证明材料；（5）上述人员是法定代表人的，无需提供社保证明材料，提供有效身份证明材料。</w:t>
            </w:r>
          </w:p>
        </w:tc>
        <w:tc>
          <w:tcPr>
            <w:tcW w:w="439"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w:t>
            </w:r>
            <w:r>
              <w:rPr>
                <w:rFonts w:ascii="仿宋" w:hAnsi="仿宋" w:eastAsia="仿宋" w:cs="宋体"/>
                <w:color w:val="000000"/>
                <w:kern w:val="0"/>
                <w:sz w:val="24"/>
              </w:rPr>
              <w:t>25</w:t>
            </w:r>
            <w:r>
              <w:rPr>
                <w:rFonts w:hint="eastAsia" w:ascii="仿宋" w:hAnsi="仿宋" w:eastAsia="仿宋"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39" w:type="pct"/>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技术分（</w:t>
            </w:r>
            <w:r>
              <w:rPr>
                <w:rFonts w:ascii="仿宋" w:hAnsi="仿宋" w:eastAsia="仿宋" w:cs="宋体"/>
                <w:color w:val="000000"/>
                <w:kern w:val="0"/>
                <w:sz w:val="24"/>
              </w:rPr>
              <w:t>45</w:t>
            </w:r>
            <w:r>
              <w:rPr>
                <w:rFonts w:hint="eastAsia" w:ascii="仿宋" w:hAnsi="仿宋" w:eastAsia="仿宋" w:cs="宋体"/>
                <w:color w:val="000000"/>
                <w:kern w:val="0"/>
                <w:sz w:val="24"/>
              </w:rPr>
              <w:t>分）</w:t>
            </w:r>
          </w:p>
        </w:tc>
        <w:tc>
          <w:tcPr>
            <w:tcW w:w="914"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项目认知</w:t>
            </w:r>
          </w:p>
        </w:tc>
        <w:tc>
          <w:tcPr>
            <w:tcW w:w="3208" w:type="pct"/>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根据对本项目背景及重点任务的理解和认知，对标准制定的重要性、必要性的认知。</w:t>
            </w:r>
          </w:p>
          <w:p>
            <w:pPr>
              <w:widowControl/>
              <w:rPr>
                <w:rFonts w:ascii="仿宋" w:hAnsi="仿宋" w:eastAsia="仿宋" w:cs="宋体"/>
                <w:color w:val="000000"/>
                <w:kern w:val="0"/>
                <w:sz w:val="24"/>
              </w:rPr>
            </w:pPr>
            <w:r>
              <w:rPr>
                <w:rFonts w:hint="eastAsia" w:ascii="仿宋" w:hAnsi="仿宋" w:eastAsia="仿宋" w:cs="宋体"/>
                <w:color w:val="000000"/>
                <w:kern w:val="0"/>
                <w:sz w:val="24"/>
              </w:rPr>
              <w:t>优秀的，得10＜F≤15分，良好的，得5＜F≤10分，一般的，得1≤F≤5分。未提供的不得分。</w:t>
            </w:r>
          </w:p>
        </w:tc>
        <w:tc>
          <w:tcPr>
            <w:tcW w:w="439"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0~1</w:t>
            </w:r>
            <w:r>
              <w:rPr>
                <w:rFonts w:ascii="仿宋" w:hAnsi="仿宋" w:eastAsia="仿宋" w:cs="宋体"/>
                <w:color w:val="000000"/>
                <w:kern w:val="0"/>
                <w:sz w:val="24"/>
              </w:rPr>
              <w:t>5</w:t>
            </w:r>
            <w:r>
              <w:rPr>
                <w:rFonts w:hint="eastAsia" w:ascii="仿宋" w:hAnsi="仿宋" w:eastAsia="仿宋"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439" w:type="pct"/>
            <w:vMerge w:val="continue"/>
            <w:vAlign w:val="center"/>
          </w:tcPr>
          <w:p>
            <w:pPr>
              <w:widowControl/>
              <w:jc w:val="left"/>
              <w:rPr>
                <w:rFonts w:ascii="仿宋" w:hAnsi="仿宋" w:eastAsia="仿宋" w:cs="宋体"/>
                <w:color w:val="000000"/>
                <w:kern w:val="0"/>
                <w:sz w:val="24"/>
              </w:rPr>
            </w:pPr>
          </w:p>
        </w:tc>
        <w:tc>
          <w:tcPr>
            <w:tcW w:w="914"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服务方案</w:t>
            </w:r>
          </w:p>
        </w:tc>
        <w:tc>
          <w:tcPr>
            <w:tcW w:w="3208" w:type="pct"/>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内容包括并不限于技术资料搜集、技术路线、方案内容、进度安排等。</w:t>
            </w:r>
          </w:p>
          <w:p>
            <w:pPr>
              <w:widowControl/>
              <w:rPr>
                <w:rFonts w:ascii="仿宋" w:hAnsi="仿宋" w:eastAsia="仿宋" w:cs="宋体"/>
                <w:color w:val="000000"/>
                <w:kern w:val="0"/>
                <w:sz w:val="24"/>
              </w:rPr>
            </w:pPr>
            <w:r>
              <w:rPr>
                <w:rFonts w:hint="eastAsia" w:ascii="仿宋" w:hAnsi="仿宋" w:eastAsia="仿宋" w:cs="宋体"/>
                <w:color w:val="000000"/>
                <w:kern w:val="0"/>
                <w:sz w:val="24"/>
              </w:rPr>
              <w:t>优秀的，得15＜F≤20分，良好的，得10＜F≤15分，一般的，得1≤F≤10分。未提供的不得分。</w:t>
            </w:r>
          </w:p>
        </w:tc>
        <w:tc>
          <w:tcPr>
            <w:tcW w:w="439"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w:t>
            </w:r>
            <w:r>
              <w:rPr>
                <w:rFonts w:ascii="仿宋" w:hAnsi="仿宋" w:eastAsia="仿宋" w:cs="宋体"/>
                <w:color w:val="000000"/>
                <w:kern w:val="0"/>
                <w:sz w:val="24"/>
              </w:rPr>
              <w:t>20</w:t>
            </w:r>
            <w:r>
              <w:rPr>
                <w:rFonts w:hint="eastAsia" w:ascii="仿宋" w:hAnsi="仿宋" w:eastAsia="仿宋"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39" w:type="pct"/>
            <w:vMerge w:val="continue"/>
            <w:vAlign w:val="center"/>
          </w:tcPr>
          <w:p>
            <w:pPr>
              <w:widowControl/>
              <w:jc w:val="left"/>
              <w:rPr>
                <w:rFonts w:ascii="仿宋" w:hAnsi="仿宋" w:eastAsia="仿宋" w:cs="宋体"/>
                <w:color w:val="000000"/>
                <w:kern w:val="0"/>
                <w:sz w:val="24"/>
              </w:rPr>
            </w:pPr>
          </w:p>
        </w:tc>
        <w:tc>
          <w:tcPr>
            <w:tcW w:w="914"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保障措施</w:t>
            </w:r>
          </w:p>
        </w:tc>
        <w:tc>
          <w:tcPr>
            <w:tcW w:w="3208" w:type="pct"/>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供应商具备组织合理、科学严谨的标准化体系，为本项目投入的技术人员的构成比例合理，分工职责明确。</w:t>
            </w:r>
          </w:p>
          <w:p>
            <w:pPr>
              <w:widowControl/>
              <w:rPr>
                <w:rFonts w:ascii="仿宋" w:hAnsi="仿宋" w:eastAsia="仿宋" w:cs="宋体"/>
                <w:color w:val="000000"/>
                <w:kern w:val="0"/>
                <w:sz w:val="24"/>
              </w:rPr>
            </w:pPr>
            <w:r>
              <w:rPr>
                <w:rFonts w:hint="eastAsia" w:ascii="仿宋" w:hAnsi="仿宋" w:eastAsia="仿宋" w:cs="宋体"/>
                <w:color w:val="000000"/>
                <w:kern w:val="0"/>
                <w:sz w:val="24"/>
              </w:rPr>
              <w:t>优秀的，得7＜F≤10分，良好的，得4＜F≤7分，一般的，得1≤F≤4分。未提供的不得分。</w:t>
            </w:r>
          </w:p>
        </w:tc>
        <w:tc>
          <w:tcPr>
            <w:tcW w:w="439"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w:t>
            </w:r>
            <w:r>
              <w:rPr>
                <w:rFonts w:ascii="仿宋" w:hAnsi="仿宋" w:eastAsia="仿宋" w:cs="宋体"/>
                <w:color w:val="000000"/>
                <w:kern w:val="0"/>
                <w:sz w:val="24"/>
              </w:rPr>
              <w:t>10</w:t>
            </w:r>
            <w:r>
              <w:rPr>
                <w:rFonts w:hint="eastAsia" w:ascii="仿宋" w:hAnsi="仿宋" w:eastAsia="仿宋"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39" w:type="pct"/>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价格分（10分）</w:t>
            </w:r>
          </w:p>
        </w:tc>
        <w:tc>
          <w:tcPr>
            <w:tcW w:w="914"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报价部分</w:t>
            </w:r>
          </w:p>
        </w:tc>
        <w:tc>
          <w:tcPr>
            <w:tcW w:w="3208" w:type="pct"/>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1.有效投标人报价中的最低价作为评标基准价。</w:t>
            </w:r>
          </w:p>
          <w:p>
            <w:pPr>
              <w:widowControl/>
              <w:rPr>
                <w:rFonts w:ascii="仿宋" w:hAnsi="仿宋" w:eastAsia="仿宋" w:cs="宋体"/>
                <w:color w:val="000000"/>
                <w:kern w:val="0"/>
                <w:sz w:val="24"/>
              </w:rPr>
            </w:pPr>
            <w:r>
              <w:rPr>
                <w:rFonts w:hint="eastAsia" w:ascii="仿宋" w:hAnsi="仿宋" w:eastAsia="仿宋" w:cs="宋体"/>
                <w:color w:val="000000"/>
                <w:kern w:val="0"/>
                <w:sz w:val="24"/>
              </w:rPr>
              <w:t>2.评标价等于评标基准价的，其投标报价评分得该评分因素权重分值。其他评标价对应得分统一按照下列公式计算：投标报价得分＝（评标基准价/评标价）× 10%×100。</w:t>
            </w:r>
          </w:p>
          <w:p>
            <w:pPr>
              <w:widowControl/>
              <w:rPr>
                <w:rFonts w:ascii="仿宋" w:hAnsi="仿宋" w:eastAsia="仿宋" w:cs="宋体"/>
                <w:color w:val="000000"/>
                <w:kern w:val="0"/>
                <w:sz w:val="24"/>
              </w:rPr>
            </w:pPr>
            <w:r>
              <w:rPr>
                <w:rFonts w:hint="eastAsia" w:ascii="仿宋" w:hAnsi="仿宋" w:eastAsia="仿宋" w:cs="宋体"/>
                <w:color w:val="000000"/>
                <w:kern w:val="0"/>
                <w:sz w:val="24"/>
              </w:rPr>
              <w:t>3.投标人的投标报价超过设定的上限价的作为无效标处理。</w:t>
            </w:r>
          </w:p>
          <w:p>
            <w:pPr>
              <w:widowControl/>
              <w:rPr>
                <w:rFonts w:ascii="仿宋" w:hAnsi="仿宋" w:eastAsia="仿宋" w:cs="宋体"/>
                <w:color w:val="000000"/>
                <w:kern w:val="0"/>
                <w:sz w:val="24"/>
              </w:rPr>
            </w:pPr>
            <w:r>
              <w:rPr>
                <w:rFonts w:hint="eastAsia" w:ascii="仿宋" w:hAnsi="仿宋" w:eastAsia="仿宋" w:cs="宋体"/>
                <w:color w:val="000000"/>
                <w:kern w:val="0"/>
                <w:sz w:val="24"/>
              </w:rPr>
              <w:t>注：分数计算至小数点后两位。</w:t>
            </w:r>
          </w:p>
        </w:tc>
        <w:tc>
          <w:tcPr>
            <w:tcW w:w="439" w:type="pc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0~10分</w:t>
            </w:r>
          </w:p>
        </w:tc>
      </w:tr>
    </w:tbl>
    <w:p>
      <w:pPr>
        <w:pStyle w:val="18"/>
        <w:spacing w:line="560" w:lineRule="exact"/>
        <w:ind w:left="0"/>
        <w:rPr>
          <w:rFonts w:ascii="仿宋_GB2312" w:hAnsi="仿宋_GB2312" w:eastAsia="仿宋_GB2312" w:cs="仿宋_GB2312"/>
          <w:sz w:val="32"/>
          <w:szCs w:val="32"/>
        </w:rPr>
      </w:pP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七、其他说明</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供应商须在2022年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日(星期</w:t>
      </w:r>
      <w:bookmarkStart w:id="12" w:name="_GoBack"/>
      <w:bookmarkEnd w:id="12"/>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)12:00前将所</w:t>
      </w:r>
      <w:r>
        <w:rPr>
          <w:rFonts w:hint="eastAsia" w:ascii="仿宋_GB2312" w:hAnsi="仿宋_GB2312" w:eastAsia="仿宋_GB2312" w:cs="仿宋_GB2312"/>
          <w:sz w:val="32"/>
          <w:szCs w:val="32"/>
        </w:rPr>
        <w:t>有响应材料纸质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一正两副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密封</w:t>
      </w:r>
      <w:r>
        <w:rPr>
          <w:rFonts w:hint="eastAsia" w:ascii="仿宋_GB2312" w:hAnsi="仿宋_GB2312" w:eastAsia="仿宋_GB2312" w:cs="仿宋_GB2312"/>
          <w:sz w:val="32"/>
          <w:szCs w:val="32"/>
        </w:rPr>
        <w:t>并邮寄或送至我司，逾期响应无效。</w:t>
      </w:r>
    </w:p>
    <w:p>
      <w:pPr>
        <w:pStyle w:val="18"/>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2.如有疑问，可于工作日9:00-12:00、14:00-17:30联系本项目联系人。</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八、响应文件资料要求</w:t>
      </w:r>
    </w:p>
    <w:tbl>
      <w:tblPr>
        <w:tblStyle w:val="14"/>
        <w:tblW w:w="8340"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41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2" w:type="dxa"/>
            <w:vAlign w:val="center"/>
          </w:tcPr>
          <w:p>
            <w:pPr>
              <w:spacing w:line="400" w:lineRule="exact"/>
              <w:jc w:val="center"/>
              <w:rPr>
                <w:rFonts w:ascii="宋体" w:hAnsi="宋体"/>
                <w:b/>
                <w:sz w:val="24"/>
              </w:rPr>
            </w:pPr>
            <w:r>
              <w:rPr>
                <w:rFonts w:hint="eastAsia" w:ascii="宋体" w:hAnsi="宋体"/>
                <w:b/>
                <w:sz w:val="24"/>
              </w:rPr>
              <w:t>序号</w:t>
            </w:r>
          </w:p>
        </w:tc>
        <w:tc>
          <w:tcPr>
            <w:tcW w:w="5413" w:type="dxa"/>
            <w:vAlign w:val="center"/>
          </w:tcPr>
          <w:p>
            <w:pPr>
              <w:spacing w:line="400" w:lineRule="exact"/>
              <w:jc w:val="center"/>
              <w:rPr>
                <w:rFonts w:ascii="宋体" w:hAnsi="宋体"/>
                <w:b/>
                <w:sz w:val="24"/>
              </w:rPr>
            </w:pPr>
            <w:r>
              <w:rPr>
                <w:rFonts w:hint="eastAsia" w:ascii="宋体" w:hAnsi="宋体"/>
                <w:b/>
                <w:sz w:val="24"/>
              </w:rPr>
              <w:t>资料名称</w:t>
            </w:r>
          </w:p>
        </w:tc>
        <w:tc>
          <w:tcPr>
            <w:tcW w:w="2215"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lang w:val="zh-CN"/>
              </w:rPr>
              <w:t>一</w:t>
            </w:r>
          </w:p>
        </w:tc>
        <w:tc>
          <w:tcPr>
            <w:tcW w:w="5413" w:type="dxa"/>
            <w:vAlign w:val="center"/>
          </w:tcPr>
          <w:p>
            <w:pPr>
              <w:rPr>
                <w:rFonts w:ascii="宋体" w:hAnsi="宋体"/>
                <w:u w:val="single"/>
              </w:rPr>
            </w:pPr>
            <w:r>
              <w:rPr>
                <w:rFonts w:hint="eastAsia" w:ascii="宋体" w:hAnsi="宋体"/>
                <w:bCs/>
                <w:sz w:val="24"/>
              </w:rPr>
              <w:t xml:space="preserve">报价表                           </w:t>
            </w:r>
          </w:p>
        </w:tc>
        <w:tc>
          <w:tcPr>
            <w:tcW w:w="2215" w:type="dxa"/>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二</w:t>
            </w:r>
          </w:p>
        </w:tc>
        <w:tc>
          <w:tcPr>
            <w:tcW w:w="5413" w:type="dxa"/>
            <w:vAlign w:val="center"/>
          </w:tcPr>
          <w:p>
            <w:pPr>
              <w:rPr>
                <w:rFonts w:ascii="宋体" w:hAnsi="宋体"/>
                <w:bCs/>
                <w:sz w:val="24"/>
              </w:rPr>
            </w:pPr>
            <w:r>
              <w:rPr>
                <w:rFonts w:hint="eastAsia" w:ascii="宋体" w:hAnsi="宋体"/>
                <w:sz w:val="24"/>
              </w:rPr>
              <w:t>供应商综合情况简介</w:t>
            </w:r>
          </w:p>
        </w:tc>
        <w:tc>
          <w:tcPr>
            <w:tcW w:w="2215" w:type="dxa"/>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三</w:t>
            </w:r>
          </w:p>
        </w:tc>
        <w:tc>
          <w:tcPr>
            <w:tcW w:w="5413" w:type="dxa"/>
            <w:vAlign w:val="center"/>
          </w:tcPr>
          <w:p>
            <w:pPr>
              <w:rPr>
                <w:rFonts w:ascii="宋体" w:hAnsi="宋体"/>
                <w:sz w:val="24"/>
              </w:rPr>
            </w:pPr>
            <w:r>
              <w:rPr>
                <w:rFonts w:hint="eastAsia" w:ascii="宋体" w:hAnsi="宋体"/>
                <w:bCs/>
                <w:sz w:val="24"/>
              </w:rPr>
              <w:t>无重大违法记录声明函、无不良信用记录声明函</w:t>
            </w:r>
          </w:p>
        </w:tc>
        <w:tc>
          <w:tcPr>
            <w:tcW w:w="2215" w:type="dxa"/>
            <w:vAlign w:val="center"/>
          </w:tcPr>
          <w:p>
            <w:pPr>
              <w:spacing w:before="50" w:after="5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四</w:t>
            </w:r>
          </w:p>
        </w:tc>
        <w:tc>
          <w:tcPr>
            <w:tcW w:w="5413" w:type="dxa"/>
            <w:vAlign w:val="center"/>
          </w:tcPr>
          <w:p>
            <w:pPr>
              <w:rPr>
                <w:rFonts w:ascii="宋体" w:hAnsi="宋体"/>
                <w:sz w:val="24"/>
              </w:rPr>
            </w:pPr>
            <w:r>
              <w:rPr>
                <w:rFonts w:hint="eastAsia" w:ascii="宋体" w:hAnsi="宋体"/>
                <w:sz w:val="24"/>
              </w:rPr>
              <w:t>技术服务方案</w:t>
            </w:r>
          </w:p>
        </w:tc>
        <w:tc>
          <w:tcPr>
            <w:tcW w:w="2215" w:type="dxa"/>
            <w:vAlign w:val="center"/>
          </w:tcPr>
          <w:p>
            <w:pPr>
              <w:spacing w:before="50" w:after="5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五</w:t>
            </w:r>
          </w:p>
        </w:tc>
        <w:tc>
          <w:tcPr>
            <w:tcW w:w="5413" w:type="dxa"/>
            <w:vAlign w:val="center"/>
          </w:tcPr>
          <w:p>
            <w:pPr>
              <w:rPr>
                <w:rFonts w:ascii="宋体" w:hAnsi="宋体"/>
                <w:sz w:val="24"/>
              </w:rPr>
            </w:pPr>
            <w:r>
              <w:rPr>
                <w:rFonts w:hint="eastAsia" w:ascii="宋体" w:hAnsi="宋体"/>
                <w:sz w:val="24"/>
              </w:rPr>
              <w:t>其他文件</w:t>
            </w:r>
          </w:p>
        </w:tc>
        <w:tc>
          <w:tcPr>
            <w:tcW w:w="2215" w:type="dxa"/>
            <w:vAlign w:val="center"/>
          </w:tcPr>
          <w:p>
            <w:pPr>
              <w:spacing w:before="50" w:after="50" w:line="360" w:lineRule="auto"/>
              <w:jc w:val="center"/>
              <w:rPr>
                <w:rFonts w:ascii="宋体" w:hAnsi="宋体"/>
                <w:kern w:val="0"/>
                <w:sz w:val="24"/>
                <w:lang w:val="zh-CN"/>
              </w:rPr>
            </w:pPr>
          </w:p>
        </w:tc>
      </w:tr>
    </w:tbl>
    <w:p>
      <w:pPr>
        <w:pStyle w:val="5"/>
        <w:spacing w:line="360" w:lineRule="auto"/>
        <w:jc w:val="left"/>
        <w:rPr>
          <w:rFonts w:ascii="仿宋_GB2312" w:hAnsi="仿宋_GB2312" w:eastAsia="仿宋_GB2312" w:cs="仿宋_GB2312"/>
        </w:rPr>
      </w:pPr>
      <w:r>
        <w:rPr>
          <w:rFonts w:ascii="仿宋_GB2312" w:hAnsi="仿宋_GB2312" w:eastAsia="仿宋_GB2312" w:cs="仿宋_GB2312"/>
        </w:rPr>
        <w:br w:type="page"/>
      </w:r>
      <w:r>
        <w:rPr>
          <w:rFonts w:hint="eastAsia" w:ascii="仿宋_GB2312" w:hAnsi="仿宋_GB2312" w:eastAsia="仿宋_GB2312" w:cs="仿宋_GB2312"/>
        </w:rPr>
        <w:t>附件1</w:t>
      </w:r>
      <w:r>
        <w:rPr>
          <w:rFonts w:ascii="仿宋_GB2312" w:hAnsi="仿宋_GB2312" w:eastAsia="仿宋_GB2312" w:cs="仿宋_GB2312"/>
        </w:rPr>
        <w:t xml:space="preserve"> </w:t>
      </w:r>
      <w:r>
        <w:rPr>
          <w:rFonts w:hint="eastAsia" w:ascii="仿宋_GB2312" w:hAnsi="仿宋_GB2312" w:eastAsia="仿宋_GB2312" w:cs="仿宋_GB2312"/>
        </w:rPr>
        <w:t>报价表</w:t>
      </w:r>
    </w:p>
    <w:p>
      <w:pPr>
        <w:spacing w:before="156" w:beforeLines="50" w:after="156" w:afterLines="50" w:line="360" w:lineRule="auto"/>
        <w:jc w:val="center"/>
        <w:rPr>
          <w:rFonts w:ascii="宋体" w:hAnsi="宋体"/>
          <w:b/>
          <w:sz w:val="24"/>
          <w:szCs w:val="28"/>
        </w:rPr>
      </w:pPr>
      <w:r>
        <w:rPr>
          <w:rFonts w:hint="eastAsia" w:ascii="宋体" w:hAnsi="宋体"/>
          <w:b/>
          <w:sz w:val="24"/>
          <w:szCs w:val="28"/>
        </w:rPr>
        <w:t>报价表</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p>
    <w:tbl>
      <w:tblPr>
        <w:tblStyle w:val="14"/>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5746" w:type="dxa"/>
            <w:tcBorders>
              <w:left w:val="single" w:color="auto" w:sz="4" w:space="0"/>
            </w:tcBorders>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vAlign w:val="center"/>
          </w:tcPr>
          <w:p>
            <w:pPr>
              <w:widowControl/>
              <w:spacing w:line="360" w:lineRule="exact"/>
              <w:rPr>
                <w:rFonts w:ascii="宋体" w:hAnsi="宋体"/>
                <w:b/>
                <w:sz w:val="24"/>
              </w:rPr>
            </w:pPr>
            <w:r>
              <w:rPr>
                <w:rFonts w:hint="eastAsia" w:ascii="宋体" w:hAnsi="宋体"/>
                <w:sz w:val="24"/>
                <w:szCs w:val="28"/>
              </w:rPr>
              <w:t>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spacing w:line="360" w:lineRule="auto"/>
              <w:jc w:val="center"/>
              <w:rPr>
                <w:rFonts w:ascii="宋体" w:hAnsi="宋体"/>
                <w:b/>
                <w:sz w:val="24"/>
              </w:rPr>
            </w:pPr>
            <w:r>
              <w:rPr>
                <w:rFonts w:hint="eastAsia" w:ascii="宋体" w:hAnsi="宋体"/>
                <w:b/>
                <w:bCs/>
                <w:sz w:val="24"/>
                <w:szCs w:val="28"/>
              </w:rPr>
              <w:t>报</w:t>
            </w:r>
            <w:r>
              <w:rPr>
                <w:rFonts w:ascii="宋体" w:hAnsi="宋体"/>
                <w:b/>
                <w:bCs/>
                <w:sz w:val="24"/>
                <w:szCs w:val="28"/>
              </w:rPr>
              <w:t>价</w:t>
            </w:r>
          </w:p>
          <w:p>
            <w:pPr>
              <w:spacing w:line="360" w:lineRule="auto"/>
              <w:jc w:val="center"/>
              <w:rPr>
                <w:rFonts w:ascii="宋体" w:hAnsi="宋体"/>
                <w:b/>
                <w:sz w:val="24"/>
              </w:rPr>
            </w:pPr>
            <w:r>
              <w:rPr>
                <w:rFonts w:hint="eastAsia" w:ascii="宋体" w:hAnsi="宋体"/>
                <w:b/>
                <w:sz w:val="24"/>
              </w:rPr>
              <w:t>（详见备注说明）</w:t>
            </w:r>
          </w:p>
        </w:tc>
        <w:tc>
          <w:tcPr>
            <w:tcW w:w="5746" w:type="dxa"/>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spacing w:line="360" w:lineRule="auto"/>
              <w:jc w:val="center"/>
              <w:rPr>
                <w:rFonts w:ascii="宋体" w:hAnsi="宋体"/>
                <w:b/>
                <w:sz w:val="24"/>
              </w:rPr>
            </w:pPr>
            <w:r>
              <w:rPr>
                <w:rFonts w:hint="eastAsia" w:ascii="宋体" w:hAnsi="宋体"/>
                <w:b/>
                <w:sz w:val="24"/>
              </w:rPr>
              <w:t>备注说明</w:t>
            </w:r>
          </w:p>
        </w:tc>
        <w:tc>
          <w:tcPr>
            <w:tcW w:w="5746" w:type="dxa"/>
          </w:tcPr>
          <w:p>
            <w:pPr>
              <w:spacing w:line="360" w:lineRule="auto"/>
              <w:rPr>
                <w:rFonts w:ascii="宋体" w:hAnsi="宋体"/>
                <w:b/>
                <w:sz w:val="24"/>
              </w:rPr>
            </w:pPr>
          </w:p>
        </w:tc>
      </w:tr>
    </w:tbl>
    <w:p>
      <w:pPr>
        <w:snapToGrid w:val="0"/>
        <w:spacing w:line="360" w:lineRule="auto"/>
        <w:rPr>
          <w:rFonts w:ascii="宋体" w:hAnsi="宋体"/>
          <w:b/>
          <w:sz w:val="24"/>
        </w:rPr>
      </w:pPr>
    </w:p>
    <w:p>
      <w:pPr>
        <w:snapToGrid w:val="0"/>
        <w:spacing w:line="360" w:lineRule="auto"/>
        <w:rPr>
          <w:rFonts w:ascii="宋体" w:hAnsi="宋体"/>
          <w:b/>
          <w:sz w:val="24"/>
        </w:rPr>
      </w:pPr>
      <w:r>
        <w:rPr>
          <w:rFonts w:hint="eastAsia" w:ascii="宋体" w:hAnsi="宋体"/>
          <w:b/>
          <w:sz w:val="24"/>
        </w:rPr>
        <w:t xml:space="preserve">供应商公章：                       </w:t>
      </w:r>
    </w:p>
    <w:p>
      <w:pPr>
        <w:snapToGrid w:val="0"/>
        <w:spacing w:line="360" w:lineRule="auto"/>
        <w:ind w:left="5550"/>
        <w:jc w:val="center"/>
        <w:rPr>
          <w:rFonts w:ascii="宋体" w:hAnsi="宋体"/>
          <w:sz w:val="24"/>
        </w:rPr>
      </w:pPr>
    </w:p>
    <w:p>
      <w:pPr>
        <w:adjustRightInd w:val="0"/>
        <w:snapToGrid w:val="0"/>
        <w:spacing w:line="360" w:lineRule="auto"/>
        <w:jc w:val="right"/>
        <w:rPr>
          <w:rFonts w:ascii="宋体" w:hAnsi="宋体"/>
          <w:b/>
          <w:bCs/>
          <w:sz w:val="24"/>
          <w:szCs w:val="28"/>
        </w:rPr>
      </w:pPr>
      <w:r>
        <w:rPr>
          <w:rFonts w:hint="eastAsia" w:ascii="宋体" w:hAnsi="宋体"/>
          <w:sz w:val="24"/>
        </w:rPr>
        <w:t>年  月  日</w:t>
      </w:r>
    </w:p>
    <w:p>
      <w:pPr>
        <w:adjustRightInd w:val="0"/>
        <w:snapToGrid w:val="0"/>
        <w:spacing w:line="360" w:lineRule="auto"/>
        <w:rPr>
          <w:rFonts w:ascii="宋体" w:hAnsi="宋体"/>
          <w:b/>
          <w:bCs/>
          <w:sz w:val="24"/>
          <w:szCs w:val="28"/>
        </w:rPr>
      </w:pPr>
      <w:r>
        <w:rPr>
          <w:rFonts w:hint="eastAsia" w:ascii="宋体" w:hAnsi="宋体"/>
          <w:b/>
          <w:bCs/>
          <w:sz w:val="24"/>
          <w:szCs w:val="28"/>
        </w:rPr>
        <w:t>注：</w:t>
      </w:r>
    </w:p>
    <w:p>
      <w:pPr>
        <w:adjustRightInd w:val="0"/>
        <w:snapToGrid w:val="0"/>
        <w:spacing w:line="360" w:lineRule="auto"/>
        <w:ind w:firstLine="482" w:firstLineChars="200"/>
        <w:rPr>
          <w:rFonts w:ascii="宋体" w:hAnsi="宋体"/>
          <w:sz w:val="24"/>
        </w:rPr>
      </w:pPr>
      <w:r>
        <w:rPr>
          <w:rFonts w:hint="eastAsia" w:ascii="宋体" w:hAnsi="宋体"/>
          <w:b/>
          <w:bCs/>
          <w:sz w:val="24"/>
          <w:szCs w:val="28"/>
        </w:rPr>
        <w:t>1、本表内容根据询价文件要求包括了所有服务及其配套的所有费用。</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2、特殊事项在备注中注明。</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3、供应商应根据其响应文件中报价表的内容填写唱标信息，唱标信息不作为评审的依据。唱标信息与报价表不一致的，</w:t>
      </w:r>
      <w:r>
        <w:rPr>
          <w:rFonts w:ascii="宋体" w:hAnsi="宋体"/>
          <w:b/>
          <w:bCs/>
          <w:sz w:val="24"/>
          <w:szCs w:val="28"/>
        </w:rPr>
        <w:t>以</w:t>
      </w:r>
      <w:r>
        <w:rPr>
          <w:rFonts w:hint="eastAsia" w:ascii="宋体" w:hAnsi="宋体"/>
          <w:b/>
          <w:bCs/>
          <w:sz w:val="24"/>
          <w:szCs w:val="28"/>
        </w:rPr>
        <w:t>报价表为准。</w:t>
      </w: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pStyle w:val="5"/>
        <w:spacing w:line="360" w:lineRule="auto"/>
        <w:jc w:val="left"/>
        <w:rPr>
          <w:rFonts w:ascii="仿宋_GB2312" w:hAnsi="仿宋_GB2312" w:eastAsia="仿宋_GB2312" w:cs="仿宋_GB2312"/>
        </w:rPr>
      </w:pPr>
      <w:r>
        <w:rPr>
          <w:rFonts w:hint="eastAsia" w:ascii="仿宋_GB2312" w:hAnsi="仿宋_GB2312" w:eastAsia="仿宋_GB2312" w:cs="仿宋_GB2312"/>
        </w:rPr>
        <w:t>附件2</w:t>
      </w:r>
      <w:r>
        <w:rPr>
          <w:rFonts w:ascii="仿宋_GB2312" w:hAnsi="仿宋_GB2312" w:eastAsia="仿宋_GB2312" w:cs="仿宋_GB2312"/>
        </w:rPr>
        <w:t xml:space="preserve"> </w:t>
      </w:r>
      <w:r>
        <w:rPr>
          <w:rFonts w:hint="eastAsia" w:ascii="仿宋_GB2312" w:hAnsi="仿宋_GB2312" w:eastAsia="仿宋_GB2312" w:cs="仿宋_GB2312"/>
        </w:rPr>
        <w:t>供应商综合情况简介</w:t>
      </w:r>
    </w:p>
    <w:p>
      <w:pPr>
        <w:snapToGrid w:val="0"/>
        <w:spacing w:after="156" w:afterLines="50" w:line="360" w:lineRule="auto"/>
        <w:jc w:val="center"/>
        <w:rPr>
          <w:rFonts w:ascii="宋体" w:hAnsi="宋体"/>
          <w:b/>
          <w:sz w:val="24"/>
          <w:szCs w:val="28"/>
        </w:rPr>
      </w:pPr>
      <w:r>
        <w:rPr>
          <w:rFonts w:hint="eastAsia" w:ascii="宋体" w:hAnsi="宋体"/>
          <w:b/>
          <w:sz w:val="24"/>
          <w:szCs w:val="28"/>
        </w:rPr>
        <w:t>供应商综合情况简介</w:t>
      </w:r>
    </w:p>
    <w:tbl>
      <w:tblPr>
        <w:tblStyle w:val="1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4111"/>
        <w:gridCol w:w="709"/>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b/>
                <w:color w:val="000000"/>
                <w:kern w:val="0"/>
                <w:sz w:val="22"/>
                <w:szCs w:val="20"/>
              </w:rPr>
            </w:pPr>
            <w:r>
              <w:rPr>
                <w:rFonts w:hint="eastAsia" w:ascii="宋体" w:hAnsi="宋体" w:eastAsia="宋体" w:cs="宋体"/>
                <w:b/>
                <w:color w:val="000000"/>
                <w:kern w:val="0"/>
                <w:sz w:val="22"/>
                <w:szCs w:val="20"/>
              </w:rPr>
              <w:t>信息事项</w:t>
            </w:r>
          </w:p>
        </w:tc>
        <w:tc>
          <w:tcPr>
            <w:tcW w:w="4111" w:type="dxa"/>
            <w:vAlign w:val="center"/>
          </w:tcPr>
          <w:p>
            <w:pPr>
              <w:widowControl/>
              <w:jc w:val="center"/>
              <w:rPr>
                <w:rFonts w:ascii="宋体" w:hAnsi="宋体" w:eastAsia="宋体" w:cs="宋体"/>
                <w:b/>
                <w:color w:val="000000"/>
                <w:kern w:val="0"/>
                <w:sz w:val="22"/>
                <w:szCs w:val="20"/>
              </w:rPr>
            </w:pPr>
            <w:r>
              <w:rPr>
                <w:rFonts w:hint="eastAsia" w:ascii="宋体" w:hAnsi="宋体" w:eastAsia="宋体" w:cs="宋体"/>
                <w:b/>
                <w:color w:val="000000"/>
                <w:kern w:val="0"/>
                <w:sz w:val="22"/>
                <w:szCs w:val="20"/>
              </w:rPr>
              <w:t>基本内容</w:t>
            </w:r>
          </w:p>
        </w:tc>
        <w:tc>
          <w:tcPr>
            <w:tcW w:w="2552" w:type="dxa"/>
            <w:gridSpan w:val="3"/>
            <w:vAlign w:val="center"/>
          </w:tcPr>
          <w:p>
            <w:pPr>
              <w:widowControl/>
              <w:jc w:val="center"/>
              <w:rPr>
                <w:rFonts w:ascii="宋体" w:hAnsi="宋体" w:eastAsia="宋体" w:cs="宋体"/>
                <w:b/>
                <w:color w:val="000000"/>
                <w:kern w:val="0"/>
                <w:sz w:val="22"/>
                <w:szCs w:val="20"/>
              </w:rPr>
            </w:pPr>
            <w:r>
              <w:rPr>
                <w:rFonts w:hint="eastAsia" w:ascii="宋体" w:hAnsi="宋体" w:eastAsia="宋体" w:cs="宋体"/>
                <w:b/>
                <w:color w:val="000000"/>
                <w:kern w:val="0"/>
                <w:sz w:val="22"/>
                <w:szCs w:val="20"/>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企业全称</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注册资本（万元）</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注册所在地</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法定代表人</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经营范围</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营业执照号</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资质等级及证书编号</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安全生产许可证号</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开户银行及账号</w:t>
            </w:r>
          </w:p>
        </w:tc>
        <w:tc>
          <w:tcPr>
            <w:tcW w:w="4111" w:type="dxa"/>
            <w:vAlign w:val="center"/>
          </w:tcPr>
          <w:p>
            <w:pPr>
              <w:widowControl/>
              <w:shd w:val="clear" w:color="auto" w:fill="FFFFFF"/>
              <w:jc w:val="left"/>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技术实力</w:t>
            </w:r>
          </w:p>
        </w:tc>
        <w:tc>
          <w:tcPr>
            <w:tcW w:w="6663" w:type="dxa"/>
            <w:gridSpan w:val="4"/>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认证证书及编号（如有）</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restart"/>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类似业绩</w:t>
            </w:r>
          </w:p>
        </w:tc>
        <w:tc>
          <w:tcPr>
            <w:tcW w:w="4111"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合同名称</w:t>
            </w:r>
          </w:p>
        </w:tc>
        <w:tc>
          <w:tcPr>
            <w:tcW w:w="70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合同金额</w:t>
            </w:r>
          </w:p>
        </w:tc>
        <w:tc>
          <w:tcPr>
            <w:tcW w:w="851"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开竣工</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时间</w:t>
            </w:r>
          </w:p>
        </w:tc>
        <w:tc>
          <w:tcPr>
            <w:tcW w:w="992"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continue"/>
            <w:vAlign w:val="center"/>
          </w:tcPr>
          <w:p>
            <w:pPr>
              <w:widowControl/>
              <w:jc w:val="left"/>
              <w:rPr>
                <w:rFonts w:ascii="宋体" w:hAnsi="宋体" w:eastAsia="宋体" w:cs="宋体"/>
                <w:color w:val="000000"/>
                <w:kern w:val="0"/>
                <w:sz w:val="22"/>
                <w:szCs w:val="20"/>
              </w:rPr>
            </w:pPr>
          </w:p>
        </w:tc>
        <w:tc>
          <w:tcPr>
            <w:tcW w:w="4111" w:type="dxa"/>
            <w:vAlign w:val="center"/>
          </w:tcPr>
          <w:p>
            <w:pPr>
              <w:widowControl/>
              <w:jc w:val="center"/>
              <w:rPr>
                <w:rFonts w:ascii="宋体" w:hAnsi="宋体" w:eastAsia="宋体" w:cs="宋体"/>
                <w:color w:val="000000"/>
                <w:kern w:val="0"/>
                <w:sz w:val="22"/>
                <w:szCs w:val="20"/>
              </w:rPr>
            </w:pPr>
          </w:p>
        </w:tc>
        <w:tc>
          <w:tcPr>
            <w:tcW w:w="709" w:type="dxa"/>
            <w:vAlign w:val="center"/>
          </w:tcPr>
          <w:p>
            <w:pPr>
              <w:widowControl/>
              <w:jc w:val="center"/>
              <w:rPr>
                <w:rFonts w:ascii="宋体" w:hAnsi="宋体" w:eastAsia="宋体" w:cs="宋体"/>
                <w:color w:val="000000"/>
                <w:kern w:val="0"/>
                <w:sz w:val="22"/>
                <w:szCs w:val="20"/>
              </w:rPr>
            </w:pPr>
          </w:p>
        </w:tc>
        <w:tc>
          <w:tcPr>
            <w:tcW w:w="851" w:type="dxa"/>
            <w:vAlign w:val="center"/>
          </w:tcPr>
          <w:p>
            <w:pPr>
              <w:widowControl/>
              <w:jc w:val="center"/>
              <w:rPr>
                <w:rFonts w:ascii="宋体" w:hAnsi="宋体" w:eastAsia="宋体" w:cs="宋体"/>
                <w:color w:val="000000"/>
                <w:kern w:val="0"/>
                <w:sz w:val="22"/>
                <w:szCs w:val="20"/>
              </w:rPr>
            </w:pPr>
          </w:p>
        </w:tc>
        <w:tc>
          <w:tcPr>
            <w:tcW w:w="992" w:type="dxa"/>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continue"/>
            <w:vAlign w:val="center"/>
          </w:tcPr>
          <w:p>
            <w:pPr>
              <w:widowControl/>
              <w:jc w:val="left"/>
              <w:rPr>
                <w:rFonts w:ascii="宋体" w:hAnsi="宋体" w:eastAsia="宋体" w:cs="宋体"/>
                <w:color w:val="000000"/>
                <w:kern w:val="0"/>
                <w:sz w:val="22"/>
                <w:szCs w:val="20"/>
              </w:rPr>
            </w:pPr>
          </w:p>
        </w:tc>
        <w:tc>
          <w:tcPr>
            <w:tcW w:w="4111" w:type="dxa"/>
            <w:vAlign w:val="center"/>
          </w:tcPr>
          <w:p>
            <w:pPr>
              <w:widowControl/>
              <w:jc w:val="center"/>
              <w:rPr>
                <w:rFonts w:ascii="宋体" w:hAnsi="宋体" w:eastAsia="宋体" w:cs="宋体"/>
                <w:color w:val="000000"/>
                <w:kern w:val="0"/>
                <w:sz w:val="22"/>
                <w:szCs w:val="20"/>
              </w:rPr>
            </w:pPr>
          </w:p>
        </w:tc>
        <w:tc>
          <w:tcPr>
            <w:tcW w:w="709" w:type="dxa"/>
            <w:vAlign w:val="center"/>
          </w:tcPr>
          <w:p>
            <w:pPr>
              <w:widowControl/>
              <w:jc w:val="center"/>
              <w:rPr>
                <w:rFonts w:ascii="宋体" w:hAnsi="宋体" w:eastAsia="宋体" w:cs="宋体"/>
                <w:color w:val="000000"/>
                <w:kern w:val="0"/>
                <w:sz w:val="22"/>
                <w:szCs w:val="20"/>
              </w:rPr>
            </w:pPr>
          </w:p>
        </w:tc>
        <w:tc>
          <w:tcPr>
            <w:tcW w:w="851" w:type="dxa"/>
            <w:vAlign w:val="center"/>
          </w:tcPr>
          <w:p>
            <w:pPr>
              <w:widowControl/>
              <w:jc w:val="center"/>
              <w:rPr>
                <w:rFonts w:ascii="宋体" w:hAnsi="宋体" w:eastAsia="宋体" w:cs="宋体"/>
                <w:color w:val="000000"/>
                <w:kern w:val="0"/>
                <w:sz w:val="22"/>
                <w:szCs w:val="20"/>
              </w:rPr>
            </w:pPr>
          </w:p>
        </w:tc>
        <w:tc>
          <w:tcPr>
            <w:tcW w:w="992" w:type="dxa"/>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continue"/>
            <w:vAlign w:val="center"/>
          </w:tcPr>
          <w:p>
            <w:pPr>
              <w:widowControl/>
              <w:jc w:val="left"/>
              <w:rPr>
                <w:rFonts w:ascii="宋体" w:hAnsi="宋体" w:eastAsia="宋体" w:cs="宋体"/>
                <w:color w:val="000000"/>
                <w:kern w:val="0"/>
                <w:sz w:val="22"/>
                <w:szCs w:val="20"/>
              </w:rPr>
            </w:pPr>
          </w:p>
        </w:tc>
        <w:tc>
          <w:tcPr>
            <w:tcW w:w="4111" w:type="dxa"/>
            <w:vAlign w:val="center"/>
          </w:tcPr>
          <w:p>
            <w:pPr>
              <w:widowControl/>
              <w:jc w:val="center"/>
              <w:rPr>
                <w:rFonts w:ascii="宋体" w:hAnsi="宋体" w:eastAsia="宋体" w:cs="宋体"/>
                <w:color w:val="000000"/>
                <w:kern w:val="0"/>
                <w:sz w:val="22"/>
                <w:szCs w:val="20"/>
              </w:rPr>
            </w:pPr>
          </w:p>
        </w:tc>
        <w:tc>
          <w:tcPr>
            <w:tcW w:w="709" w:type="dxa"/>
            <w:vAlign w:val="center"/>
          </w:tcPr>
          <w:p>
            <w:pPr>
              <w:widowControl/>
              <w:jc w:val="center"/>
              <w:rPr>
                <w:rFonts w:ascii="宋体" w:hAnsi="宋体" w:eastAsia="宋体" w:cs="宋体"/>
                <w:color w:val="000000"/>
                <w:kern w:val="0"/>
                <w:sz w:val="22"/>
                <w:szCs w:val="20"/>
              </w:rPr>
            </w:pPr>
          </w:p>
        </w:tc>
        <w:tc>
          <w:tcPr>
            <w:tcW w:w="851" w:type="dxa"/>
            <w:vAlign w:val="center"/>
          </w:tcPr>
          <w:p>
            <w:pPr>
              <w:widowControl/>
              <w:jc w:val="center"/>
              <w:rPr>
                <w:rFonts w:ascii="宋体" w:hAnsi="宋体" w:eastAsia="宋体" w:cs="宋体"/>
                <w:color w:val="000000"/>
                <w:kern w:val="0"/>
                <w:sz w:val="22"/>
                <w:szCs w:val="20"/>
              </w:rPr>
            </w:pPr>
          </w:p>
        </w:tc>
        <w:tc>
          <w:tcPr>
            <w:tcW w:w="992" w:type="dxa"/>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continue"/>
            <w:vAlign w:val="center"/>
          </w:tcPr>
          <w:p>
            <w:pPr>
              <w:widowControl/>
              <w:jc w:val="left"/>
              <w:rPr>
                <w:rFonts w:ascii="宋体" w:hAnsi="宋体" w:eastAsia="宋体" w:cs="宋体"/>
                <w:color w:val="000000"/>
                <w:kern w:val="0"/>
                <w:sz w:val="22"/>
                <w:szCs w:val="20"/>
              </w:rPr>
            </w:pPr>
          </w:p>
        </w:tc>
        <w:tc>
          <w:tcPr>
            <w:tcW w:w="4111" w:type="dxa"/>
            <w:vAlign w:val="center"/>
          </w:tcPr>
          <w:p>
            <w:pPr>
              <w:widowControl/>
              <w:jc w:val="center"/>
              <w:rPr>
                <w:rFonts w:ascii="宋体" w:hAnsi="宋体" w:eastAsia="宋体" w:cs="宋体"/>
                <w:color w:val="000000"/>
                <w:kern w:val="0"/>
                <w:sz w:val="22"/>
                <w:szCs w:val="20"/>
              </w:rPr>
            </w:pPr>
          </w:p>
        </w:tc>
        <w:tc>
          <w:tcPr>
            <w:tcW w:w="709" w:type="dxa"/>
            <w:vAlign w:val="center"/>
          </w:tcPr>
          <w:p>
            <w:pPr>
              <w:widowControl/>
              <w:jc w:val="center"/>
              <w:rPr>
                <w:rFonts w:ascii="宋体" w:hAnsi="宋体" w:eastAsia="宋体" w:cs="宋体"/>
                <w:color w:val="000000"/>
                <w:kern w:val="0"/>
                <w:sz w:val="22"/>
                <w:szCs w:val="20"/>
              </w:rPr>
            </w:pPr>
          </w:p>
        </w:tc>
        <w:tc>
          <w:tcPr>
            <w:tcW w:w="851" w:type="dxa"/>
            <w:vAlign w:val="center"/>
          </w:tcPr>
          <w:p>
            <w:pPr>
              <w:widowControl/>
              <w:jc w:val="center"/>
              <w:rPr>
                <w:rFonts w:ascii="宋体" w:hAnsi="宋体" w:eastAsia="宋体" w:cs="宋体"/>
                <w:color w:val="000000"/>
                <w:kern w:val="0"/>
                <w:sz w:val="22"/>
                <w:szCs w:val="20"/>
              </w:rPr>
            </w:pPr>
          </w:p>
        </w:tc>
        <w:tc>
          <w:tcPr>
            <w:tcW w:w="992" w:type="dxa"/>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continue"/>
            <w:vAlign w:val="center"/>
          </w:tcPr>
          <w:p>
            <w:pPr>
              <w:widowControl/>
              <w:jc w:val="left"/>
              <w:rPr>
                <w:rFonts w:ascii="宋体" w:hAnsi="宋体" w:eastAsia="宋体" w:cs="宋体"/>
                <w:color w:val="000000"/>
                <w:kern w:val="0"/>
                <w:sz w:val="22"/>
                <w:szCs w:val="20"/>
              </w:rPr>
            </w:pPr>
          </w:p>
        </w:tc>
        <w:tc>
          <w:tcPr>
            <w:tcW w:w="4111" w:type="dxa"/>
            <w:vAlign w:val="center"/>
          </w:tcPr>
          <w:p>
            <w:pPr>
              <w:widowControl/>
              <w:jc w:val="center"/>
              <w:rPr>
                <w:rFonts w:ascii="宋体" w:hAnsi="宋体" w:eastAsia="宋体" w:cs="宋体"/>
                <w:color w:val="000000"/>
                <w:kern w:val="0"/>
                <w:sz w:val="22"/>
                <w:szCs w:val="20"/>
              </w:rPr>
            </w:pPr>
          </w:p>
        </w:tc>
        <w:tc>
          <w:tcPr>
            <w:tcW w:w="709" w:type="dxa"/>
            <w:vAlign w:val="center"/>
          </w:tcPr>
          <w:p>
            <w:pPr>
              <w:widowControl/>
              <w:jc w:val="center"/>
              <w:rPr>
                <w:rFonts w:ascii="宋体" w:hAnsi="宋体" w:eastAsia="宋体" w:cs="宋体"/>
                <w:color w:val="000000"/>
                <w:kern w:val="0"/>
                <w:sz w:val="22"/>
                <w:szCs w:val="20"/>
              </w:rPr>
            </w:pPr>
          </w:p>
        </w:tc>
        <w:tc>
          <w:tcPr>
            <w:tcW w:w="851" w:type="dxa"/>
            <w:vAlign w:val="center"/>
          </w:tcPr>
          <w:p>
            <w:pPr>
              <w:widowControl/>
              <w:jc w:val="center"/>
              <w:rPr>
                <w:rFonts w:ascii="宋体" w:hAnsi="宋体" w:eastAsia="宋体" w:cs="宋体"/>
                <w:color w:val="000000"/>
                <w:kern w:val="0"/>
                <w:sz w:val="22"/>
                <w:szCs w:val="20"/>
              </w:rPr>
            </w:pPr>
          </w:p>
        </w:tc>
        <w:tc>
          <w:tcPr>
            <w:tcW w:w="992" w:type="dxa"/>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vAlign w:val="center"/>
          </w:tcPr>
          <w:p>
            <w:pPr>
              <w:widowControl/>
              <w:rPr>
                <w:rFonts w:ascii="宋体" w:hAnsi="宋体" w:eastAsia="宋体" w:cs="宋体"/>
                <w:color w:val="000000"/>
                <w:kern w:val="0"/>
                <w:sz w:val="22"/>
                <w:szCs w:val="20"/>
              </w:rPr>
            </w:pPr>
          </w:p>
          <w:p>
            <w:pPr>
              <w:widowControl/>
              <w:rPr>
                <w:rFonts w:ascii="宋体" w:hAnsi="宋体" w:eastAsia="宋体" w:cs="宋体"/>
                <w:color w:val="000000"/>
                <w:kern w:val="0"/>
                <w:sz w:val="22"/>
                <w:szCs w:val="20"/>
              </w:rPr>
            </w:pPr>
          </w:p>
          <w:p>
            <w:pPr>
              <w:widowControl/>
              <w:rPr>
                <w:rFonts w:ascii="宋体" w:hAnsi="宋体" w:eastAsia="宋体" w:cs="宋体"/>
                <w:color w:val="000000"/>
                <w:kern w:val="0"/>
                <w:sz w:val="22"/>
                <w:szCs w:val="20"/>
              </w:rPr>
            </w:pPr>
            <w:r>
              <w:rPr>
                <w:rFonts w:hint="eastAsia" w:ascii="宋体" w:hAnsi="宋体" w:eastAsia="宋体" w:cs="宋体"/>
                <w:color w:val="000000"/>
                <w:kern w:val="0"/>
                <w:sz w:val="22"/>
                <w:szCs w:val="20"/>
              </w:rPr>
              <w:t>供应商公章：</w:t>
            </w:r>
          </w:p>
          <w:p>
            <w:pPr>
              <w:widowControl/>
              <w:rPr>
                <w:rFonts w:ascii="宋体" w:hAnsi="宋体" w:eastAsia="宋体" w:cs="宋体"/>
                <w:color w:val="000000"/>
                <w:kern w:val="0"/>
                <w:sz w:val="22"/>
                <w:szCs w:val="20"/>
              </w:rPr>
            </w:pPr>
          </w:p>
          <w:p>
            <w:pPr>
              <w:widowControl/>
              <w:rPr>
                <w:rFonts w:ascii="宋体" w:hAnsi="宋体" w:eastAsia="宋体" w:cs="宋体"/>
                <w:color w:val="000000"/>
                <w:kern w:val="0"/>
                <w:sz w:val="22"/>
                <w:szCs w:val="20"/>
              </w:rPr>
            </w:pPr>
            <w:r>
              <w:rPr>
                <w:rFonts w:hint="eastAsia" w:ascii="宋体" w:hAnsi="宋体" w:eastAsia="宋体" w:cs="宋体"/>
                <w:color w:val="000000"/>
                <w:kern w:val="0"/>
                <w:sz w:val="22"/>
                <w:szCs w:val="20"/>
              </w:rPr>
              <w:t xml:space="preserve"> </w:t>
            </w:r>
            <w:r>
              <w:rPr>
                <w:rFonts w:ascii="宋体" w:hAnsi="宋体" w:eastAsia="宋体" w:cs="宋体"/>
                <w:color w:val="000000"/>
                <w:kern w:val="0"/>
                <w:sz w:val="22"/>
                <w:szCs w:val="20"/>
              </w:rPr>
              <w:t xml:space="preserve">                                                   </w:t>
            </w:r>
            <w:r>
              <w:rPr>
                <w:rFonts w:hint="eastAsia" w:ascii="宋体" w:hAnsi="宋体" w:eastAsia="宋体" w:cs="宋体"/>
                <w:color w:val="000000"/>
                <w:kern w:val="0"/>
                <w:sz w:val="22"/>
                <w:szCs w:val="20"/>
              </w:rPr>
              <w:t xml:space="preserve">填表日期： </w:t>
            </w:r>
            <w:r>
              <w:rPr>
                <w:rFonts w:ascii="宋体" w:hAnsi="宋体" w:eastAsia="宋体" w:cs="宋体"/>
                <w:color w:val="000000"/>
                <w:kern w:val="0"/>
                <w:sz w:val="22"/>
                <w:szCs w:val="20"/>
              </w:rPr>
              <w:t xml:space="preserve">    </w:t>
            </w:r>
            <w:r>
              <w:rPr>
                <w:rFonts w:hint="eastAsia" w:ascii="宋体" w:hAnsi="宋体" w:eastAsia="宋体" w:cs="宋体"/>
                <w:color w:val="000000"/>
                <w:kern w:val="0"/>
                <w:sz w:val="22"/>
                <w:szCs w:val="20"/>
              </w:rPr>
              <w:t xml:space="preserve">年 </w:t>
            </w:r>
            <w:r>
              <w:rPr>
                <w:rFonts w:ascii="宋体" w:hAnsi="宋体" w:eastAsia="宋体" w:cs="宋体"/>
                <w:color w:val="000000"/>
                <w:kern w:val="0"/>
                <w:sz w:val="22"/>
                <w:szCs w:val="20"/>
              </w:rPr>
              <w:t xml:space="preserve">    </w:t>
            </w:r>
            <w:r>
              <w:rPr>
                <w:rFonts w:hint="eastAsia" w:ascii="宋体" w:hAnsi="宋体" w:eastAsia="宋体" w:cs="宋体"/>
                <w:color w:val="000000"/>
                <w:kern w:val="0"/>
                <w:sz w:val="22"/>
                <w:szCs w:val="20"/>
              </w:rPr>
              <w:t xml:space="preserve">月 </w:t>
            </w:r>
            <w:r>
              <w:rPr>
                <w:rFonts w:ascii="宋体" w:hAnsi="宋体" w:eastAsia="宋体" w:cs="宋体"/>
                <w:color w:val="000000"/>
                <w:kern w:val="0"/>
                <w:sz w:val="22"/>
                <w:szCs w:val="20"/>
              </w:rPr>
              <w:t xml:space="preserve">    </w:t>
            </w:r>
            <w:r>
              <w:rPr>
                <w:rFonts w:hint="eastAsia" w:ascii="宋体" w:hAnsi="宋体" w:eastAsia="宋体" w:cs="宋体"/>
                <w:color w:val="000000"/>
                <w:kern w:val="0"/>
                <w:sz w:val="22"/>
                <w:szCs w:val="20"/>
              </w:rPr>
              <w:t>日</w:t>
            </w:r>
          </w:p>
        </w:tc>
      </w:tr>
    </w:tbl>
    <w:p>
      <w:pPr>
        <w:rPr>
          <w:rFonts w:ascii="宋体" w:hAnsi="宋体"/>
        </w:rPr>
      </w:pPr>
    </w:p>
    <w:p>
      <w:pPr>
        <w:pStyle w:val="5"/>
        <w:spacing w:line="360" w:lineRule="auto"/>
        <w:jc w:val="left"/>
        <w:rPr>
          <w:rFonts w:ascii="仿宋_GB2312" w:hAnsi="仿宋_GB2312" w:eastAsia="仿宋_GB2312" w:cs="仿宋_GB2312"/>
        </w:rPr>
      </w:pPr>
      <w:r>
        <w:rPr>
          <w:rFonts w:hint="eastAsia" w:ascii="仿宋_GB2312" w:hAnsi="仿宋_GB2312" w:eastAsia="仿宋_GB2312" w:cs="仿宋_GB2312"/>
        </w:rPr>
        <w:t>附件3</w:t>
      </w:r>
      <w:r>
        <w:rPr>
          <w:rFonts w:ascii="仿宋_GB2312" w:hAnsi="仿宋_GB2312" w:eastAsia="仿宋_GB2312" w:cs="仿宋_GB2312"/>
        </w:rPr>
        <w:t xml:space="preserve"> </w:t>
      </w:r>
      <w:r>
        <w:rPr>
          <w:rFonts w:hint="eastAsia" w:ascii="仿宋_GB2312" w:hAnsi="仿宋_GB2312" w:eastAsia="仿宋_GB2312" w:cs="仿宋_GB2312"/>
        </w:rPr>
        <w:t>无重大违法记录声明函、无不良信用记录声明函</w:t>
      </w:r>
    </w:p>
    <w:p>
      <w:pPr>
        <w:spacing w:line="360" w:lineRule="auto"/>
        <w:jc w:val="center"/>
        <w:rPr>
          <w:rFonts w:ascii="宋体" w:hAnsi="宋体"/>
          <w:b/>
          <w:sz w:val="24"/>
        </w:rPr>
      </w:pPr>
      <w:r>
        <w:rPr>
          <w:rFonts w:hint="eastAsia" w:ascii="宋体" w:hAnsi="宋体"/>
          <w:b/>
          <w:sz w:val="24"/>
        </w:rPr>
        <w:t>无重大违法记录声明函、无不良信用记录声明函</w:t>
      </w:r>
    </w:p>
    <w:p>
      <w:pPr>
        <w:spacing w:line="360" w:lineRule="auto"/>
        <w:jc w:val="center"/>
        <w:rPr>
          <w:rFonts w:ascii="宋体" w:hAnsi="宋体"/>
          <w:b/>
          <w:sz w:val="24"/>
        </w:rPr>
      </w:pPr>
      <w:r>
        <w:rPr>
          <w:rFonts w:hint="eastAsia" w:ascii="宋体" w:hAnsi="宋体"/>
          <w:b/>
          <w:sz w:val="24"/>
        </w:rPr>
        <w:t>(本声明函将随成交结果一并公告)</w:t>
      </w:r>
    </w:p>
    <w:p>
      <w:pPr>
        <w:spacing w:line="360" w:lineRule="auto"/>
        <w:ind w:firstLine="435"/>
        <w:rPr>
          <w:rFonts w:ascii="宋体" w:hAnsi="宋体"/>
          <w:sz w:val="24"/>
        </w:rPr>
      </w:pPr>
      <w:r>
        <w:rPr>
          <w:rFonts w:hint="eastAsia" w:ascii="宋体" w:hAnsi="宋体"/>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、本公司郑重声明，符合下列情形之一： </w:t>
      </w:r>
    </w:p>
    <w:p>
      <w:pPr>
        <w:spacing w:line="360" w:lineRule="auto"/>
        <w:ind w:firstLine="360" w:firstLineChars="150"/>
        <w:rPr>
          <w:rFonts w:ascii="宋体" w:hAnsi="宋体"/>
          <w:sz w:val="24"/>
        </w:rPr>
      </w:pPr>
      <w:r>
        <w:rPr>
          <w:rFonts w:hint="eastAsia" w:ascii="宋体" w:hAnsi="宋体"/>
          <w:sz w:val="24"/>
        </w:rPr>
        <w:t>（1）谈判日前两年内未被合肥市</w:t>
      </w:r>
      <w:r>
        <w:rPr>
          <w:rFonts w:hint="eastAsia" w:ascii="宋体" w:hAnsi="宋体"/>
          <w:sz w:val="24"/>
          <w:szCs w:val="18"/>
        </w:rPr>
        <w:t>及其所辖县（市）</w:t>
      </w:r>
      <w:r>
        <w:rPr>
          <w:rFonts w:hint="eastAsia" w:ascii="宋体" w:hAnsi="宋体"/>
          <w:sz w:val="24"/>
        </w:rPr>
        <w:t>公共资源交易监督管理局记不良行为记录或记不良行为记录累计未满10分的；</w:t>
      </w:r>
    </w:p>
    <w:p>
      <w:pPr>
        <w:spacing w:line="360" w:lineRule="auto"/>
        <w:ind w:firstLine="360" w:firstLineChars="150"/>
        <w:rPr>
          <w:rFonts w:ascii="宋体" w:hAnsi="宋体"/>
          <w:sz w:val="24"/>
        </w:rPr>
      </w:pPr>
      <w:r>
        <w:rPr>
          <w:rFonts w:hint="eastAsia" w:ascii="宋体" w:hAnsi="宋体"/>
          <w:sz w:val="24"/>
        </w:rPr>
        <w:t>（2）最近一次被合肥市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公共资源交易监督管理局记不良行为记录累计记分达10分（含10分）到15分且公布日距谈判日超过6个月；</w:t>
      </w:r>
    </w:p>
    <w:p>
      <w:pPr>
        <w:spacing w:line="360" w:lineRule="auto"/>
        <w:ind w:firstLine="360" w:firstLineChars="150"/>
        <w:rPr>
          <w:rFonts w:ascii="宋体" w:hAnsi="宋体"/>
          <w:sz w:val="24"/>
        </w:rPr>
      </w:pPr>
      <w:r>
        <w:rPr>
          <w:rFonts w:hint="eastAsia" w:ascii="宋体" w:hAnsi="宋体"/>
          <w:sz w:val="24"/>
        </w:rPr>
        <w:t>（3）最近一次被合肥市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公共资源交易监督管理局记不良行为记录累计记分达15分（含15分）到20分且公布日距谈判日超过12个月；</w:t>
      </w:r>
    </w:p>
    <w:p>
      <w:pPr>
        <w:spacing w:line="360" w:lineRule="auto"/>
        <w:ind w:firstLine="360" w:firstLineChars="150"/>
        <w:rPr>
          <w:rFonts w:ascii="宋体" w:hAnsi="宋体"/>
          <w:sz w:val="24"/>
        </w:rPr>
      </w:pPr>
      <w:r>
        <w:rPr>
          <w:rFonts w:hint="eastAsia" w:ascii="宋体" w:hAnsi="宋体"/>
          <w:sz w:val="24"/>
        </w:rPr>
        <w:t>（4）最近一次被合肥市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公共资源交易监督管理局记不良行为记录累计记分达20分（含20分）及以上且公布日距谈判日超过24个月。</w:t>
      </w:r>
    </w:p>
    <w:p>
      <w:pPr>
        <w:spacing w:line="360" w:lineRule="auto"/>
        <w:ind w:firstLine="435"/>
        <w:rPr>
          <w:rFonts w:ascii="宋体" w:hAnsi="宋体"/>
          <w:sz w:val="24"/>
        </w:rPr>
      </w:pPr>
      <w:r>
        <w:rPr>
          <w:rFonts w:hint="eastAsia" w:ascii="宋体" w:hAnsi="宋体"/>
          <w:sz w:val="24"/>
        </w:rPr>
        <w:t>3、本公司郑重声明，我公司无以下不良信用记录情形：</w:t>
      </w:r>
    </w:p>
    <w:p>
      <w:pPr>
        <w:spacing w:line="360" w:lineRule="auto"/>
        <w:rPr>
          <w:rFonts w:ascii="宋体" w:hAnsi="宋体"/>
          <w:sz w:val="24"/>
        </w:rPr>
      </w:pPr>
      <w:r>
        <w:rPr>
          <w:rFonts w:hint="eastAsia" w:ascii="宋体" w:hAnsi="宋体"/>
          <w:sz w:val="24"/>
        </w:rPr>
        <w:t>（1）公司被人民法院列入失信被执行人；</w:t>
      </w:r>
    </w:p>
    <w:p>
      <w:pPr>
        <w:spacing w:line="360" w:lineRule="auto"/>
        <w:rPr>
          <w:rFonts w:ascii="宋体" w:hAnsi="宋体"/>
          <w:sz w:val="24"/>
        </w:rPr>
      </w:pPr>
      <w:r>
        <w:rPr>
          <w:rFonts w:hint="eastAsia" w:ascii="宋体" w:hAnsi="宋体"/>
          <w:sz w:val="24"/>
        </w:rPr>
        <w:t>（2）公司、法定代表人或拟派项目经理（项目负责人）被人民检察院列入行贿犯罪档案；</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）公司被工商行政管理部门列入企业经营异常名录；</w:t>
      </w:r>
    </w:p>
    <w:p>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）公司被税务部门列入重大税收违法案件当事人名单；</w:t>
      </w:r>
    </w:p>
    <w:p>
      <w:pPr>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）公司被政府采购监管部门列入政府采购严重违法失信行为记录名单。</w:t>
      </w:r>
    </w:p>
    <w:p>
      <w:pPr>
        <w:spacing w:line="360" w:lineRule="auto"/>
        <w:ind w:firstLine="435"/>
        <w:rPr>
          <w:rFonts w:ascii="宋体" w:hAnsi="宋体"/>
          <w:sz w:val="24"/>
        </w:rPr>
      </w:pPr>
      <w:r>
        <w:rPr>
          <w:rFonts w:ascii="宋体" w:hAnsi="宋体"/>
          <w:b/>
          <w:sz w:val="24"/>
        </w:rPr>
        <w:t>我公司已就上述不良信用行为按照</w:t>
      </w:r>
      <w:r>
        <w:rPr>
          <w:rFonts w:hint="eastAsia" w:ascii="宋体" w:hAnsi="宋体"/>
          <w:b/>
          <w:sz w:val="24"/>
        </w:rPr>
        <w:t>谈判文件中供应商须知前附表</w:t>
      </w:r>
      <w:r>
        <w:rPr>
          <w:rFonts w:ascii="宋体" w:hAnsi="宋体"/>
          <w:b/>
          <w:sz w:val="24"/>
        </w:rPr>
        <w:t>规定进行了查询</w:t>
      </w:r>
      <w:r>
        <w:rPr>
          <w:rFonts w:hint="eastAsia" w:ascii="宋体" w:hAnsi="宋体"/>
          <w:b/>
          <w:sz w:val="24"/>
        </w:rPr>
        <w:t>。</w:t>
      </w:r>
      <w:r>
        <w:rPr>
          <w:rFonts w:ascii="宋体" w:hAnsi="宋体"/>
          <w:sz w:val="24"/>
        </w:rPr>
        <w:t>我公司承诺</w:t>
      </w:r>
      <w:r>
        <w:rPr>
          <w:rFonts w:hint="eastAsia" w:ascii="宋体" w:hAnsi="宋体"/>
          <w:sz w:val="24"/>
        </w:rPr>
        <w:t>：</w:t>
      </w:r>
      <w:r>
        <w:rPr>
          <w:rFonts w:ascii="宋体" w:hAnsi="宋体"/>
          <w:sz w:val="24"/>
        </w:rPr>
        <w:t>合同签订前，若我公司具有不良信用记录情形，贵方可取消我公司</w:t>
      </w:r>
      <w:r>
        <w:rPr>
          <w:rFonts w:hint="eastAsia" w:ascii="宋体" w:hAnsi="宋体"/>
          <w:sz w:val="24"/>
        </w:rPr>
        <w:t>成交</w:t>
      </w:r>
      <w:r>
        <w:rPr>
          <w:rFonts w:ascii="宋体" w:hAnsi="宋体"/>
          <w:sz w:val="24"/>
        </w:rPr>
        <w:t>资格或者不授予合同，所有责任由我公司自行承担。同时，我公司愿意无条件接受监管部门的调查处理。</w:t>
      </w:r>
    </w:p>
    <w:p>
      <w:pPr>
        <w:spacing w:line="360" w:lineRule="auto"/>
        <w:ind w:firstLine="435"/>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35"/>
        <w:rPr>
          <w:rFonts w:ascii="宋体" w:hAnsi="宋体"/>
          <w:sz w:val="24"/>
        </w:rPr>
      </w:pPr>
      <w:r>
        <w:rPr>
          <w:rFonts w:hint="eastAsia" w:ascii="宋体" w:hAnsi="宋体"/>
          <w:sz w:val="24"/>
        </w:rPr>
        <w:t>供应商公章：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bookmarkStart w:id="0" w:name="_Toc444778701"/>
      <w:bookmarkStart w:id="1" w:name="_Toc511047768"/>
      <w:bookmarkStart w:id="2" w:name="_Toc427016298"/>
      <w:bookmarkStart w:id="3" w:name="_Toc461053099"/>
    </w:p>
    <w:p>
      <w:pPr>
        <w:pStyle w:val="5"/>
        <w:spacing w:line="360" w:lineRule="auto"/>
        <w:jc w:val="left"/>
        <w:rPr>
          <w:rFonts w:ascii="仿宋_GB2312" w:hAnsi="仿宋_GB2312" w:eastAsia="仿宋_GB2312" w:cs="仿宋_GB2312"/>
        </w:rPr>
      </w:pPr>
      <w:r>
        <w:rPr>
          <w:rFonts w:hint="eastAsia" w:ascii="仿宋_GB2312" w:hAnsi="仿宋_GB2312" w:eastAsia="仿宋_GB2312" w:cs="仿宋_GB2312"/>
        </w:rPr>
        <w:t>附件</w:t>
      </w:r>
      <w:bookmarkEnd w:id="0"/>
      <w:bookmarkEnd w:id="1"/>
      <w:bookmarkEnd w:id="2"/>
      <w:bookmarkEnd w:id="3"/>
      <w:r>
        <w:rPr>
          <w:rFonts w:hint="eastAsia" w:ascii="仿宋_GB2312" w:hAnsi="仿宋_GB2312" w:eastAsia="仿宋_GB2312" w:cs="仿宋_GB2312"/>
        </w:rPr>
        <w:t>4</w:t>
      </w:r>
      <w:r>
        <w:rPr>
          <w:rFonts w:ascii="仿宋_GB2312" w:hAnsi="仿宋_GB2312" w:eastAsia="仿宋_GB2312" w:cs="仿宋_GB2312"/>
        </w:rPr>
        <w:t xml:space="preserve"> </w:t>
      </w:r>
      <w:r>
        <w:rPr>
          <w:rFonts w:hint="eastAsia" w:ascii="仿宋_GB2312" w:hAnsi="仿宋_GB2312" w:eastAsia="仿宋_GB2312" w:cs="仿宋_GB2312"/>
        </w:rPr>
        <w:t>服务方案</w:t>
      </w:r>
    </w:p>
    <w:p>
      <w:pPr>
        <w:spacing w:line="360" w:lineRule="auto"/>
        <w:jc w:val="center"/>
        <w:rPr>
          <w:rFonts w:ascii="宋体" w:hAnsi="宋体"/>
          <w:b/>
          <w:sz w:val="24"/>
        </w:rPr>
      </w:pPr>
      <w:bookmarkStart w:id="4" w:name="_Toc427016301"/>
      <w:bookmarkStart w:id="5" w:name="_Toc444778704"/>
      <w:bookmarkStart w:id="6" w:name="_Toc461053100"/>
      <w:r>
        <w:rPr>
          <w:rFonts w:hint="eastAsia" w:ascii="宋体" w:hAnsi="宋体"/>
          <w:b/>
          <w:sz w:val="24"/>
        </w:rPr>
        <w:t>服务方案</w:t>
      </w:r>
    </w:p>
    <w:p>
      <w:pPr>
        <w:spacing w:line="360" w:lineRule="auto"/>
        <w:jc w:val="center"/>
        <w:rPr>
          <w:rFonts w:ascii="宋体" w:hAnsi="宋体"/>
        </w:rPr>
      </w:pPr>
      <w:r>
        <w:rPr>
          <w:rFonts w:hint="eastAsia" w:ascii="宋体" w:hAnsi="宋体"/>
          <w:bCs/>
          <w:sz w:val="24"/>
        </w:rPr>
        <w:t>（供应商可自行制作格式</w:t>
      </w:r>
      <w:r>
        <w:rPr>
          <w:rFonts w:hint="eastAsia" w:ascii="宋体" w:hAnsi="宋体"/>
          <w:sz w:val="24"/>
        </w:rPr>
        <w:t>）</w:t>
      </w:r>
    </w:p>
    <w:bookmarkEnd w:id="4"/>
    <w:bookmarkEnd w:id="5"/>
    <w:bookmarkEnd w:id="6"/>
    <w:p>
      <w:pPr>
        <w:widowControl/>
        <w:jc w:val="left"/>
        <w:rPr>
          <w:rFonts w:ascii="宋体" w:hAnsi="宋体"/>
          <w:sz w:val="24"/>
        </w:rPr>
      </w:pPr>
      <w:r>
        <w:rPr>
          <w:rFonts w:ascii="宋体" w:hAnsi="宋体"/>
          <w:sz w:val="24"/>
        </w:rPr>
        <w:br w:type="page"/>
      </w:r>
    </w:p>
    <w:p>
      <w:pPr>
        <w:pStyle w:val="5"/>
        <w:spacing w:line="360" w:lineRule="auto"/>
        <w:jc w:val="left"/>
        <w:rPr>
          <w:rFonts w:ascii="仿宋_GB2312" w:hAnsi="仿宋_GB2312" w:eastAsia="仿宋_GB2312" w:cs="仿宋_GB2312"/>
        </w:rPr>
      </w:pPr>
      <w:bookmarkStart w:id="7" w:name="_Toc427016302"/>
      <w:bookmarkStart w:id="8" w:name="_Toc444778705"/>
      <w:bookmarkStart w:id="9" w:name="_Toc461053101"/>
      <w:bookmarkStart w:id="10" w:name="_Toc511047775"/>
      <w:bookmarkStart w:id="11" w:name="_Toc421605829"/>
      <w:r>
        <w:rPr>
          <w:rFonts w:hint="eastAsia" w:ascii="仿宋_GB2312" w:hAnsi="仿宋_GB2312" w:eastAsia="仿宋_GB2312" w:cs="仿宋_GB2312"/>
        </w:rPr>
        <w:t>附件</w:t>
      </w:r>
      <w:bookmarkEnd w:id="7"/>
      <w:bookmarkEnd w:id="8"/>
      <w:bookmarkEnd w:id="9"/>
      <w:bookmarkEnd w:id="10"/>
      <w:bookmarkEnd w:id="11"/>
      <w:r>
        <w:rPr>
          <w:rFonts w:ascii="仿宋_GB2312" w:hAnsi="仿宋_GB2312" w:eastAsia="仿宋_GB2312" w:cs="仿宋_GB2312"/>
        </w:rPr>
        <w:t xml:space="preserve">5 </w:t>
      </w:r>
      <w:r>
        <w:rPr>
          <w:rFonts w:hint="eastAsia" w:ascii="仿宋_GB2312" w:hAnsi="仿宋_GB2312" w:eastAsia="仿宋_GB2312" w:cs="仿宋_GB2312"/>
        </w:rPr>
        <w:t>其他文件</w:t>
      </w:r>
    </w:p>
    <w:p>
      <w:pPr>
        <w:tabs>
          <w:tab w:val="left" w:pos="4620"/>
        </w:tabs>
        <w:spacing w:line="360" w:lineRule="auto"/>
        <w:ind w:firstLine="480" w:firstLineChars="200"/>
        <w:rPr>
          <w:rFonts w:ascii="宋体" w:hAnsi="宋体"/>
          <w:sz w:val="24"/>
        </w:rPr>
      </w:pPr>
      <w:r>
        <w:rPr>
          <w:rFonts w:hint="eastAsia" w:ascii="宋体" w:hAnsi="宋体"/>
          <w:sz w:val="24"/>
        </w:rPr>
        <w:t>提供符合谈判邀请（谈判公告）、采购需求及评标办法规定的相关证明文件。</w:t>
      </w:r>
    </w:p>
    <w:p>
      <w:pPr>
        <w:pStyle w:val="10"/>
        <w:snapToGrid w:val="0"/>
        <w:spacing w:line="360" w:lineRule="auto"/>
        <w:ind w:firstLine="482"/>
        <w:jc w:val="left"/>
        <w:rPr>
          <w:rFonts w:hAnsi="宋体" w:cs="Cambria"/>
          <w:b/>
          <w:sz w:val="24"/>
        </w:rPr>
      </w:pPr>
      <w:r>
        <w:rPr>
          <w:rFonts w:hint="eastAsia" w:hAnsi="宋体" w:cs="Cambria"/>
          <w:b/>
          <w:sz w:val="24"/>
        </w:rPr>
        <w:t>1、供应商</w:t>
      </w:r>
      <w:r>
        <w:rPr>
          <w:rFonts w:hAnsi="宋体" w:cs="Cambria"/>
          <w:b/>
          <w:sz w:val="24"/>
        </w:rPr>
        <w:t>业绩</w:t>
      </w:r>
    </w:p>
    <w:p>
      <w:pPr>
        <w:widowControl/>
        <w:spacing w:line="360" w:lineRule="auto"/>
        <w:ind w:left="360" w:firstLine="120" w:firstLineChars="50"/>
        <w:jc w:val="left"/>
        <w:rPr>
          <w:rFonts w:ascii="宋体" w:hAnsi="宋体"/>
          <w:sz w:val="24"/>
        </w:rPr>
      </w:pPr>
      <w:r>
        <w:rPr>
          <w:rFonts w:hint="eastAsia" w:ascii="宋体" w:hAnsi="宋体"/>
          <w:sz w:val="24"/>
        </w:rPr>
        <w:t>提供相关业绩</w:t>
      </w:r>
      <w:r>
        <w:rPr>
          <w:rFonts w:ascii="宋体" w:hAnsi="宋体"/>
          <w:sz w:val="24"/>
        </w:rPr>
        <w:t>证明材料</w:t>
      </w:r>
      <w:r>
        <w:rPr>
          <w:rFonts w:hint="eastAsia" w:ascii="宋体" w:hAnsi="宋体"/>
          <w:sz w:val="24"/>
        </w:rPr>
        <w:t>合同扫描件或</w:t>
      </w:r>
      <w:r>
        <w:rPr>
          <w:rFonts w:ascii="宋体" w:hAnsi="宋体"/>
          <w:sz w:val="24"/>
        </w:rPr>
        <w:t>影印件</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2、其他谈判文件要求的证明资料</w:t>
      </w:r>
    </w:p>
    <w:p>
      <w:pPr>
        <w:widowControl/>
        <w:ind w:firstLine="480" w:firstLineChars="200"/>
        <w:jc w:val="left"/>
        <w:rPr>
          <w:rFonts w:ascii="仿宋_GB2312" w:hAnsi="仿宋_GB2312" w:eastAsia="仿宋_GB2312" w:cs="仿宋_GB2312"/>
          <w:bCs/>
          <w:sz w:val="32"/>
          <w:szCs w:val="32"/>
        </w:rPr>
      </w:pPr>
      <w:r>
        <w:rPr>
          <w:rFonts w:hint="eastAsia" w:ascii="宋体" w:hAnsi="宋体"/>
          <w:sz w:val="24"/>
        </w:rPr>
        <w:t>其他谈判</w:t>
      </w:r>
      <w:r>
        <w:rPr>
          <w:rFonts w:ascii="宋体" w:hAnsi="宋体"/>
          <w:sz w:val="24"/>
        </w:rPr>
        <w:t>文件要求的证明材料</w:t>
      </w:r>
      <w:r>
        <w:rPr>
          <w:rFonts w:hint="eastAsia" w:ascii="宋体" w:hAnsi="宋体"/>
          <w:sz w:val="24"/>
        </w:rPr>
        <w:t>，</w:t>
      </w:r>
      <w:r>
        <w:rPr>
          <w:rFonts w:ascii="宋体" w:hAnsi="宋体"/>
          <w:sz w:val="24"/>
        </w:rPr>
        <w:t>如</w:t>
      </w:r>
      <w:r>
        <w:rPr>
          <w:rFonts w:hint="eastAsia" w:ascii="宋体" w:hAnsi="宋体"/>
          <w:sz w:val="24"/>
        </w:rPr>
        <w:t>营业执照</w:t>
      </w:r>
      <w:r>
        <w:rPr>
          <w:rFonts w:ascii="宋体" w:hAnsi="宋体"/>
          <w:sz w:val="24"/>
        </w:rPr>
        <w:t>、</w:t>
      </w:r>
      <w:r>
        <w:rPr>
          <w:rFonts w:hint="eastAsia" w:ascii="宋体" w:hAnsi="宋体"/>
          <w:sz w:val="24"/>
        </w:rPr>
        <w:t>资质证明等</w:t>
      </w:r>
      <w:r>
        <w:rPr>
          <w:rFonts w:ascii="宋体" w:hAnsi="宋体"/>
          <w:sz w:val="24"/>
        </w:rPr>
        <w:t>。</w:t>
      </w:r>
    </w:p>
    <w:p>
      <w:pPr>
        <w:widowControl/>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Y2EwZTAyMGU1Mjc5ZjNjZDNhNGEwNmFjMDNjZWUifQ=="/>
  </w:docVars>
  <w:rsids>
    <w:rsidRoot w:val="72F85224"/>
    <w:rsid w:val="0009542E"/>
    <w:rsid w:val="000F5E0F"/>
    <w:rsid w:val="001933CD"/>
    <w:rsid w:val="001B2081"/>
    <w:rsid w:val="001D15C2"/>
    <w:rsid w:val="001F549C"/>
    <w:rsid w:val="001F779F"/>
    <w:rsid w:val="0021180B"/>
    <w:rsid w:val="00253C6B"/>
    <w:rsid w:val="002A0F99"/>
    <w:rsid w:val="002F6E57"/>
    <w:rsid w:val="003427F2"/>
    <w:rsid w:val="003D0AE6"/>
    <w:rsid w:val="00422FC5"/>
    <w:rsid w:val="00450834"/>
    <w:rsid w:val="00474AF9"/>
    <w:rsid w:val="004751D9"/>
    <w:rsid w:val="00495C89"/>
    <w:rsid w:val="004B6B66"/>
    <w:rsid w:val="004C2A79"/>
    <w:rsid w:val="00502254"/>
    <w:rsid w:val="0051598C"/>
    <w:rsid w:val="005710B5"/>
    <w:rsid w:val="005B22A5"/>
    <w:rsid w:val="005C1170"/>
    <w:rsid w:val="005E000A"/>
    <w:rsid w:val="006548A7"/>
    <w:rsid w:val="00711482"/>
    <w:rsid w:val="00730CA7"/>
    <w:rsid w:val="007844FF"/>
    <w:rsid w:val="007907FD"/>
    <w:rsid w:val="00794F32"/>
    <w:rsid w:val="007B70B0"/>
    <w:rsid w:val="007C358A"/>
    <w:rsid w:val="007E34F7"/>
    <w:rsid w:val="007F1DB7"/>
    <w:rsid w:val="00812606"/>
    <w:rsid w:val="0081262A"/>
    <w:rsid w:val="008264D9"/>
    <w:rsid w:val="00877FD8"/>
    <w:rsid w:val="00935D06"/>
    <w:rsid w:val="00957924"/>
    <w:rsid w:val="009A595E"/>
    <w:rsid w:val="009D2A1D"/>
    <w:rsid w:val="009D382B"/>
    <w:rsid w:val="00A133BB"/>
    <w:rsid w:val="00A33EBA"/>
    <w:rsid w:val="00A34749"/>
    <w:rsid w:val="00A94D07"/>
    <w:rsid w:val="00AB22E1"/>
    <w:rsid w:val="00B432CE"/>
    <w:rsid w:val="00B43B5E"/>
    <w:rsid w:val="00C61AE9"/>
    <w:rsid w:val="00C9194D"/>
    <w:rsid w:val="00C93176"/>
    <w:rsid w:val="00CD78B0"/>
    <w:rsid w:val="00D03393"/>
    <w:rsid w:val="00D3087C"/>
    <w:rsid w:val="00DA7612"/>
    <w:rsid w:val="00DE08D0"/>
    <w:rsid w:val="00DF0107"/>
    <w:rsid w:val="00E607F1"/>
    <w:rsid w:val="00E77A59"/>
    <w:rsid w:val="00ED6BD5"/>
    <w:rsid w:val="00F121D0"/>
    <w:rsid w:val="00F16EC5"/>
    <w:rsid w:val="00F374D7"/>
    <w:rsid w:val="00F90BCD"/>
    <w:rsid w:val="00FC1B24"/>
    <w:rsid w:val="00FC5C8A"/>
    <w:rsid w:val="00FE42B9"/>
    <w:rsid w:val="011411D4"/>
    <w:rsid w:val="018F23FE"/>
    <w:rsid w:val="01EF572E"/>
    <w:rsid w:val="02C00E90"/>
    <w:rsid w:val="02DE3CC3"/>
    <w:rsid w:val="032A2EC2"/>
    <w:rsid w:val="037441B6"/>
    <w:rsid w:val="03C30C20"/>
    <w:rsid w:val="03D21FD2"/>
    <w:rsid w:val="0409092A"/>
    <w:rsid w:val="04FC0622"/>
    <w:rsid w:val="05EA5776"/>
    <w:rsid w:val="07D47928"/>
    <w:rsid w:val="099111BE"/>
    <w:rsid w:val="09F64316"/>
    <w:rsid w:val="0AA0497A"/>
    <w:rsid w:val="0EEC778C"/>
    <w:rsid w:val="0FB73D28"/>
    <w:rsid w:val="14A960B4"/>
    <w:rsid w:val="154D3F83"/>
    <w:rsid w:val="15672512"/>
    <w:rsid w:val="162366BE"/>
    <w:rsid w:val="16BA2E55"/>
    <w:rsid w:val="179F6ED7"/>
    <w:rsid w:val="19B60574"/>
    <w:rsid w:val="1A487BAE"/>
    <w:rsid w:val="1A5819BE"/>
    <w:rsid w:val="1AC3373F"/>
    <w:rsid w:val="1AE446C7"/>
    <w:rsid w:val="1DA65E17"/>
    <w:rsid w:val="1EB415A2"/>
    <w:rsid w:val="1F217DA1"/>
    <w:rsid w:val="20990887"/>
    <w:rsid w:val="21453DE1"/>
    <w:rsid w:val="2241085F"/>
    <w:rsid w:val="22B426D3"/>
    <w:rsid w:val="23582989"/>
    <w:rsid w:val="23D230CD"/>
    <w:rsid w:val="24FC303A"/>
    <w:rsid w:val="264472A2"/>
    <w:rsid w:val="2BB47D8E"/>
    <w:rsid w:val="2CCA5809"/>
    <w:rsid w:val="2CFA5449"/>
    <w:rsid w:val="2D0B0DBF"/>
    <w:rsid w:val="2E1909AE"/>
    <w:rsid w:val="2EB07C80"/>
    <w:rsid w:val="2F5D23FB"/>
    <w:rsid w:val="30AB443C"/>
    <w:rsid w:val="323D4DDE"/>
    <w:rsid w:val="328D53F6"/>
    <w:rsid w:val="330907C6"/>
    <w:rsid w:val="36213401"/>
    <w:rsid w:val="36B1503E"/>
    <w:rsid w:val="36EB1726"/>
    <w:rsid w:val="379D7C23"/>
    <w:rsid w:val="3A013F07"/>
    <w:rsid w:val="3A0E5DF8"/>
    <w:rsid w:val="3AEE2BBB"/>
    <w:rsid w:val="3B6363FD"/>
    <w:rsid w:val="3BB1191E"/>
    <w:rsid w:val="3BC47AA0"/>
    <w:rsid w:val="3C30084A"/>
    <w:rsid w:val="3D6200C1"/>
    <w:rsid w:val="3E2F0725"/>
    <w:rsid w:val="3F5D6C6F"/>
    <w:rsid w:val="400E0FA4"/>
    <w:rsid w:val="40F255D5"/>
    <w:rsid w:val="44202F4A"/>
    <w:rsid w:val="450B2EEB"/>
    <w:rsid w:val="45160F99"/>
    <w:rsid w:val="45595C53"/>
    <w:rsid w:val="46496DB7"/>
    <w:rsid w:val="46DA4E4A"/>
    <w:rsid w:val="4893018E"/>
    <w:rsid w:val="489F4D85"/>
    <w:rsid w:val="4ABA0E69"/>
    <w:rsid w:val="4B94000C"/>
    <w:rsid w:val="4BE34F89"/>
    <w:rsid w:val="4D700A9E"/>
    <w:rsid w:val="4F203DE0"/>
    <w:rsid w:val="4FFA3C5B"/>
    <w:rsid w:val="50AC0FE9"/>
    <w:rsid w:val="5176525C"/>
    <w:rsid w:val="52842DED"/>
    <w:rsid w:val="532838FB"/>
    <w:rsid w:val="54044563"/>
    <w:rsid w:val="54842565"/>
    <w:rsid w:val="55012536"/>
    <w:rsid w:val="563C1E65"/>
    <w:rsid w:val="576C274C"/>
    <w:rsid w:val="58241FEF"/>
    <w:rsid w:val="58550FBC"/>
    <w:rsid w:val="58753BE3"/>
    <w:rsid w:val="594A7EFA"/>
    <w:rsid w:val="5AA127B5"/>
    <w:rsid w:val="5C6C6F31"/>
    <w:rsid w:val="5D032927"/>
    <w:rsid w:val="5D570811"/>
    <w:rsid w:val="5D586CA6"/>
    <w:rsid w:val="5E687C70"/>
    <w:rsid w:val="5F2C1BBC"/>
    <w:rsid w:val="5F6366B5"/>
    <w:rsid w:val="61063DBC"/>
    <w:rsid w:val="62685F81"/>
    <w:rsid w:val="626B0604"/>
    <w:rsid w:val="627B391D"/>
    <w:rsid w:val="64733A58"/>
    <w:rsid w:val="667322A4"/>
    <w:rsid w:val="66BE4A00"/>
    <w:rsid w:val="66D41CA7"/>
    <w:rsid w:val="67082C0B"/>
    <w:rsid w:val="68F640F6"/>
    <w:rsid w:val="69EA149B"/>
    <w:rsid w:val="6AA10091"/>
    <w:rsid w:val="6AA37627"/>
    <w:rsid w:val="6B0A716E"/>
    <w:rsid w:val="6BCB3F20"/>
    <w:rsid w:val="6C302697"/>
    <w:rsid w:val="6C967816"/>
    <w:rsid w:val="6D70536E"/>
    <w:rsid w:val="6EE113A4"/>
    <w:rsid w:val="704D7FCB"/>
    <w:rsid w:val="71032079"/>
    <w:rsid w:val="719B7D21"/>
    <w:rsid w:val="72F85224"/>
    <w:rsid w:val="742513F8"/>
    <w:rsid w:val="74E27809"/>
    <w:rsid w:val="75041948"/>
    <w:rsid w:val="771479EA"/>
    <w:rsid w:val="779E1EC9"/>
    <w:rsid w:val="79694493"/>
    <w:rsid w:val="7A0D6597"/>
    <w:rsid w:val="7A970930"/>
    <w:rsid w:val="7AC06271"/>
    <w:rsid w:val="7B913459"/>
    <w:rsid w:val="7BFC01F8"/>
    <w:rsid w:val="7EB40E3E"/>
    <w:rsid w:val="7F2B002F"/>
    <w:rsid w:val="9FEF85B8"/>
    <w:rsid w:val="A8FFC6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39"/>
    <w:pPr>
      <w:tabs>
        <w:tab w:val="left" w:pos="1800"/>
      </w:tabs>
      <w:spacing w:before="480" w:line="360" w:lineRule="auto"/>
      <w:jc w:val="left"/>
    </w:pPr>
    <w:rPr>
      <w:rFonts w:ascii="仿宋" w:hAnsi="仿宋" w:eastAsia="仿宋"/>
      <w:color w:val="000000"/>
      <w:kern w:val="0"/>
      <w:szCs w:val="32"/>
    </w:rPr>
  </w:style>
  <w:style w:type="paragraph" w:customStyle="1" w:styleId="3">
    <w:name w:val="【正文】"/>
    <w:basedOn w:val="1"/>
    <w:qFormat/>
    <w:uiPriority w:val="0"/>
    <w:pPr>
      <w:ind w:firstLine="480" w:firstLineChars="200"/>
    </w:pPr>
    <w:rPr>
      <w:rFonts w:ascii="Calibri" w:hAnsi="Calibri" w:cs="DokChampa"/>
      <w:sz w:val="24"/>
      <w:szCs w:val="22"/>
    </w:rPr>
  </w:style>
  <w:style w:type="paragraph" w:styleId="6">
    <w:name w:val="table of authorities"/>
    <w:basedOn w:val="1"/>
    <w:next w:val="1"/>
    <w:unhideWhenUsed/>
    <w:qFormat/>
    <w:uiPriority w:val="99"/>
  </w:style>
  <w:style w:type="paragraph" w:styleId="7">
    <w:name w:val="Body Text"/>
    <w:basedOn w:val="1"/>
    <w:next w:val="1"/>
    <w:link w:val="19"/>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unhideWhenUsed/>
    <w:qFormat/>
    <w:uiPriority w:val="99"/>
    <w:pPr>
      <w:snapToGrid w:val="0"/>
    </w:pPr>
    <w:rPr>
      <w:rFonts w:ascii="Cambria" w:hAnsi="Cambria" w:eastAsia="宋体" w:cs="Times New Roman"/>
    </w:rPr>
  </w:style>
  <w:style w:type="paragraph" w:styleId="10">
    <w:name w:val="Plain Text"/>
    <w:basedOn w:val="1"/>
    <w:link w:val="22"/>
    <w:qFormat/>
    <w:uiPriority w:val="0"/>
    <w:rPr>
      <w:rFonts w:ascii="宋体" w:hAnsi="Courier New"/>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2"/>
    <w:basedOn w:val="8"/>
    <w:qFormat/>
    <w:uiPriority w:val="0"/>
    <w:pPr>
      <w:spacing w:after="0"/>
      <w:ind w:left="0" w:leftChars="0" w:firstLine="420" w:firstLineChars="200"/>
    </w:pPr>
    <w:rPr>
      <w:rFonts w:ascii="仿宋_GB2312" w:eastAsia="仿宋_GB2312"/>
      <w:sz w:val="3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8">
    <w:name w:val="Text"/>
    <w:basedOn w:val="1"/>
    <w:qFormat/>
    <w:uiPriority w:val="0"/>
    <w:pPr>
      <w:ind w:left="1021"/>
    </w:pPr>
    <w:rPr>
      <w:rFonts w:ascii="Calibri" w:hAnsi="Calibri"/>
    </w:rPr>
  </w:style>
  <w:style w:type="character" w:customStyle="1" w:styleId="19">
    <w:name w:val="正文文本 字符"/>
    <w:basedOn w:val="16"/>
    <w:link w:val="7"/>
    <w:qFormat/>
    <w:uiPriority w:val="0"/>
    <w:rPr>
      <w:rFonts w:asciiTheme="minorHAnsi" w:hAnsiTheme="minorHAnsi" w:eastAsiaTheme="minorEastAsia" w:cstheme="minorBidi"/>
      <w:kern w:val="2"/>
      <w:sz w:val="21"/>
      <w:szCs w:val="24"/>
    </w:rPr>
  </w:style>
  <w:style w:type="paragraph" w:styleId="20">
    <w:name w:val="List Paragraph"/>
    <w:basedOn w:val="1"/>
    <w:qFormat/>
    <w:uiPriority w:val="34"/>
    <w:pPr>
      <w:ind w:firstLine="420" w:firstLineChars="200"/>
    </w:pPr>
  </w:style>
  <w:style w:type="character" w:customStyle="1" w:styleId="21">
    <w:name w:val="标题 1 字符"/>
    <w:basedOn w:val="16"/>
    <w:link w:val="4"/>
    <w:qFormat/>
    <w:uiPriority w:val="0"/>
    <w:rPr>
      <w:rFonts w:asciiTheme="minorHAnsi" w:hAnsiTheme="minorHAnsi" w:eastAsiaTheme="minorEastAsia" w:cstheme="minorBidi"/>
      <w:b/>
      <w:bCs/>
      <w:kern w:val="44"/>
      <w:sz w:val="44"/>
      <w:szCs w:val="44"/>
    </w:rPr>
  </w:style>
  <w:style w:type="character" w:customStyle="1" w:styleId="22">
    <w:name w:val="纯文本 字符"/>
    <w:basedOn w:val="16"/>
    <w:link w:val="10"/>
    <w:qFormat/>
    <w:uiPriority w:val="0"/>
    <w:rPr>
      <w:rFonts w:ascii="宋体" w:hAnsi="Courier New" w:eastAsiaTheme="minorEastAsia" w:cstheme="minorBidi"/>
      <w:kern w:val="2"/>
      <w:sz w:val="21"/>
      <w:szCs w:val="24"/>
    </w:rPr>
  </w:style>
  <w:style w:type="character" w:customStyle="1" w:styleId="23">
    <w:name w:val="页脚 字符"/>
    <w:basedOn w:val="16"/>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728D3-0242-4C4E-94E6-8CEC500F6687}">
  <ds:schemaRefs/>
</ds:datastoreItem>
</file>

<file path=docProps/app.xml><?xml version="1.0" encoding="utf-8"?>
<Properties xmlns="http://schemas.openxmlformats.org/officeDocument/2006/extended-properties" xmlns:vt="http://schemas.openxmlformats.org/officeDocument/2006/docPropsVTypes">
  <Template>Normal</Template>
  <Pages>11</Pages>
  <Words>4056</Words>
  <Characters>4202</Characters>
  <Lines>33</Lines>
  <Paragraphs>9</Paragraphs>
  <TotalTime>5</TotalTime>
  <ScaleCrop>false</ScaleCrop>
  <LinksUpToDate>false</LinksUpToDate>
  <CharactersWithSpaces>4407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2022-04-26T08:48:00Z</dcterms:created>
  <dc:creator>一万只神兽奔走</dc:creator>
  <cp:lastModifiedBy>阮大神</cp:lastModifiedBy>
  <dcterms:modified xsi:type="dcterms:W3CDTF">2022-11-14T12:01:05Z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D7024AA9FFCF4570B18B95B0C9F0DF46</vt:lpwstr>
  </property>
  <property fmtid="{D5CDD505-2E9C-101B-9397-08002B2CF9AE}" pid="4" name="commondata">
    <vt:lpwstr>eyJoZGlkIjoiNzAwNTAyYzI2OWU3MzZiZTIwMjkyZWIxZjBkNTkzNjUifQ==</vt:lpwstr>
  </property>
</Properties>
</file>