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660" w:lineRule="exact"/>
        <w:ind w:left="0" w:leftChars="0" w:firstLine="0" w:firstLineChars="0"/>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合肥市大数据资产运营有限公司合肥市重要产品追溯体系建设系列标准规范制定服务项目采购公告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仿宋_GB2312"/>
          <w:i w:val="0"/>
          <w:iCs w:val="0"/>
          <w:caps w:val="0"/>
          <w:color w:val="333333"/>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合肥市大数据资产运营有限公司是由合肥市政府批准成立的国有全资企业</w:t>
      </w:r>
      <w:r>
        <w:rPr>
          <w:rFonts w:hint="eastAsia" w:ascii="仿宋_GB2312" w:hAnsi="宋体" w:eastAsia="仿宋_GB2312" w:cs="仿宋_GB2312"/>
          <w:i w:val="0"/>
          <w:iCs w:val="0"/>
          <w:caps w:val="0"/>
          <w:color w:val="333333"/>
          <w:spacing w:val="0"/>
          <w:sz w:val="31"/>
          <w:szCs w:val="31"/>
          <w:shd w:val="clear" w:fill="FFFFFF"/>
        </w:rPr>
        <w:t>。公司由政府授权，以政务数据为核心，负责政府重大示范性应用工程建设、全市数据资产平台运营及大数据生态体系的培育，为合肥市打造国内领先的大数据产业高地奠定基础。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rPr>
        <w:t>为了更好地保障合肥市重要产品追溯体系建设项目的落地执行，规范采集、记录和展示重要产品追溯各环节信息，根据项目建设实际需要及相关要求，拟编制并申报合肥市重要产品追溯体系建设相关</w:t>
      </w:r>
      <w:r>
        <w:rPr>
          <w:rFonts w:hint="eastAsia" w:ascii="仿宋_GB2312" w:hAnsi="宋体" w:eastAsia="仿宋_GB2312" w:cs="仿宋_GB2312"/>
          <w:i w:val="0"/>
          <w:iCs w:val="0"/>
          <w:caps w:val="0"/>
          <w:color w:val="333333"/>
          <w:spacing w:val="0"/>
          <w:sz w:val="31"/>
          <w:szCs w:val="31"/>
          <w:shd w:val="clear" w:fill="FFFFFF"/>
          <w:lang w:val="en-US" w:eastAsia="zh-CN"/>
        </w:rPr>
        <w:t>系列标准</w:t>
      </w:r>
      <w:r>
        <w:rPr>
          <w:rFonts w:hint="eastAsia" w:ascii="仿宋_GB2312" w:hAnsi="宋体" w:eastAsia="仿宋_GB2312" w:cs="仿宋_GB2312"/>
          <w:i w:val="0"/>
          <w:iCs w:val="0"/>
          <w:caps w:val="0"/>
          <w:color w:val="333333"/>
          <w:spacing w:val="0"/>
          <w:sz w:val="31"/>
          <w:szCs w:val="31"/>
          <w:shd w:val="clear" w:fill="FFFFFF"/>
        </w:rPr>
        <w:t>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rPr>
        <w:t>为遴选优秀的</w:t>
      </w:r>
      <w:r>
        <w:rPr>
          <w:rFonts w:hint="eastAsia" w:ascii="仿宋_GB2312" w:hAnsi="宋体" w:eastAsia="仿宋_GB2312" w:cs="仿宋_GB2312"/>
          <w:i w:val="0"/>
          <w:iCs w:val="0"/>
          <w:caps w:val="0"/>
          <w:color w:val="333333"/>
          <w:spacing w:val="0"/>
          <w:sz w:val="31"/>
          <w:szCs w:val="31"/>
          <w:shd w:val="clear" w:fill="FFFFFF"/>
          <w:lang w:val="en-US" w:eastAsia="zh-CN"/>
        </w:rPr>
        <w:t>服务商全程服务系列标准的制定和申报</w:t>
      </w:r>
      <w:r>
        <w:rPr>
          <w:rFonts w:hint="eastAsia" w:ascii="仿宋_GB2312" w:hAnsi="宋体" w:eastAsia="仿宋_GB2312" w:cs="仿宋_GB2312"/>
          <w:i w:val="0"/>
          <w:iCs w:val="0"/>
          <w:caps w:val="0"/>
          <w:color w:val="333333"/>
          <w:spacing w:val="0"/>
          <w:sz w:val="31"/>
          <w:szCs w:val="31"/>
          <w:shd w:val="clear" w:fill="FFFFFF"/>
        </w:rPr>
        <w:t>，</w:t>
      </w:r>
      <w:r>
        <w:rPr>
          <w:rFonts w:hint="eastAsia" w:ascii="仿宋_GB2312" w:hAnsi="宋体" w:eastAsia="仿宋_GB2312" w:cs="仿宋_GB2312"/>
          <w:i w:val="0"/>
          <w:iCs w:val="0"/>
          <w:caps w:val="0"/>
          <w:color w:val="333333"/>
          <w:spacing w:val="0"/>
          <w:sz w:val="31"/>
          <w:szCs w:val="31"/>
          <w:shd w:val="clear" w:fill="FFFFFF"/>
          <w:lang w:val="en-US" w:eastAsia="zh-CN"/>
        </w:rPr>
        <w:t>公司本次公开采购，参与遴选的公司</w:t>
      </w:r>
      <w:r>
        <w:rPr>
          <w:rFonts w:hint="eastAsia" w:ascii="仿宋_GB2312" w:hAnsi="宋体" w:eastAsia="仿宋_GB2312" w:cs="仿宋_GB2312"/>
          <w:i w:val="0"/>
          <w:iCs w:val="0"/>
          <w:caps w:val="0"/>
          <w:color w:val="333333"/>
          <w:spacing w:val="0"/>
          <w:sz w:val="31"/>
          <w:szCs w:val="31"/>
          <w:shd w:val="clear" w:fill="FFFFFF"/>
        </w:rPr>
        <w:t>应具备法律规定的</w:t>
      </w:r>
      <w:r>
        <w:rPr>
          <w:rFonts w:hint="eastAsia" w:ascii="仿宋_GB2312" w:hAnsi="宋体" w:eastAsia="仿宋_GB2312" w:cs="仿宋_GB2312"/>
          <w:i w:val="0"/>
          <w:iCs w:val="0"/>
          <w:caps w:val="0"/>
          <w:color w:val="333333"/>
          <w:spacing w:val="0"/>
          <w:sz w:val="31"/>
          <w:szCs w:val="31"/>
          <w:shd w:val="clear" w:fill="FFFFFF"/>
          <w:lang w:val="en-US" w:eastAsia="zh-CN"/>
        </w:rPr>
        <w:t>相关资格、资质、专</w:t>
      </w:r>
      <w:r>
        <w:rPr>
          <w:rFonts w:hint="eastAsia" w:ascii="仿宋_GB2312" w:hAnsi="宋体" w:eastAsia="仿宋_GB2312" w:cs="仿宋_GB2312"/>
          <w:i w:val="0"/>
          <w:iCs w:val="0"/>
          <w:caps w:val="0"/>
          <w:color w:val="333333"/>
          <w:spacing w:val="0"/>
          <w:sz w:val="31"/>
          <w:szCs w:val="31"/>
          <w:shd w:val="clear" w:fill="FFFFFF"/>
        </w:rPr>
        <w:t>业能力</w:t>
      </w:r>
      <w:r>
        <w:rPr>
          <w:rFonts w:hint="eastAsia" w:ascii="仿宋_GB2312" w:hAnsi="宋体" w:eastAsia="仿宋_GB2312" w:cs="仿宋_GB2312"/>
          <w:i w:val="0"/>
          <w:iCs w:val="0"/>
          <w:caps w:val="0"/>
          <w:color w:val="333333"/>
          <w:spacing w:val="0"/>
          <w:sz w:val="31"/>
          <w:szCs w:val="31"/>
          <w:shd w:val="clear" w:fill="FFFFFF"/>
          <w:lang w:val="en-US" w:eastAsia="zh-CN"/>
        </w:rPr>
        <w:t>及服务经验</w:t>
      </w:r>
      <w:r>
        <w:rPr>
          <w:rFonts w:hint="eastAsia" w:ascii="仿宋_GB2312" w:hAnsi="宋体" w:eastAsia="仿宋_GB2312" w:cs="仿宋_GB2312"/>
          <w:i w:val="0"/>
          <w:iCs w:val="0"/>
          <w:caps w:val="0"/>
          <w:color w:val="333333"/>
          <w:spacing w:val="0"/>
          <w:sz w:val="31"/>
          <w:szCs w:val="31"/>
          <w:shd w:val="clear" w:fill="FFFFFF"/>
        </w:rPr>
        <w:t>，具有良好的职业道德。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项目概况</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项目名称：合肥市重要产品追溯体系建设系列标准规范制定服务</w:t>
      </w:r>
    </w:p>
    <w:p>
      <w:pPr>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项目地点：合肥市</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项目单位：合肥市大数据资产运营有限公司</w:t>
      </w:r>
    </w:p>
    <w:p>
      <w:pPr>
        <w:pStyle w:val="14"/>
        <w:pageBreakBefore w:val="0"/>
        <w:kinsoku/>
        <w:wordWrap/>
        <w:overflowPunct/>
        <w:topLinePunct w:val="0"/>
        <w:bidi w:val="0"/>
        <w:snapToGrid/>
        <w:spacing w:line="560" w:lineRule="exact"/>
        <w:ind w:left="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项目预算：9.2万元，报价不得高于预算，否则为无效报价</w:t>
      </w:r>
    </w:p>
    <w:p>
      <w:pPr>
        <w:pStyle w:val="14"/>
        <w:pageBreakBefore w:val="0"/>
        <w:kinsoku/>
        <w:wordWrap/>
        <w:overflowPunct/>
        <w:topLinePunct w:val="0"/>
        <w:bidi w:val="0"/>
        <w:snapToGrid/>
        <w:spacing w:line="560" w:lineRule="exact"/>
        <w:ind w:left="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评标方法：综合评分法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CN"/>
        </w:rPr>
        <w:t>二、服务内容、实施期限及服务费支付方式</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1.服务内容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由甲方委托乙方全程负责制定《合肥市重要产品追溯体系建设 追溯码技术规范》、《合肥市重要产品追溯体系建设 食用农产品追溯框流转规范》、《合肥市重要产品追溯体系建设 食用农产品追溯 配送单位管理规范》、《合肥市重要产品追溯体系建设 食用农产品追溯 批发市场管理规范》、《合肥市重要产品追溯体系建设 食用农产品追溯 菜市场管理规范》、《合肥市重要产品追溯体系建设 食用农产品追溯 超市管理规范》系列合肥市地方标准。</w:t>
      </w:r>
    </w:p>
    <w:p>
      <w:pPr>
        <w:pStyle w:val="10"/>
        <w:ind w:left="0" w:leftChars="0" w:firstLine="600" w:firstLineChars="200"/>
        <w:rPr>
          <w:rFonts w:hint="default"/>
          <w:lang w:val="en-US" w:eastAsia="zh-CN"/>
        </w:rPr>
      </w:pPr>
      <w:r>
        <w:rPr>
          <w:rFonts w:hint="default"/>
          <w:lang w:val="en-US" w:eastAsia="zh-CN"/>
        </w:rPr>
        <w:t>本次具体编制和申报的合肥市重要产品追溯体系建设相关六个规范内容如下：</w:t>
      </w:r>
    </w:p>
    <w:p>
      <w:pPr>
        <w:pStyle w:val="10"/>
        <w:ind w:left="0" w:leftChars="0" w:firstLine="600" w:firstLineChars="200"/>
        <w:rPr>
          <w:rFonts w:hint="default"/>
          <w:lang w:val="en-US" w:eastAsia="zh-CN"/>
        </w:rPr>
      </w:pPr>
      <w:r>
        <w:rPr>
          <w:rFonts w:hint="eastAsia"/>
          <w:lang w:val="en-US" w:eastAsia="zh-CN"/>
        </w:rPr>
        <w:t>（1）</w:t>
      </w:r>
      <w:r>
        <w:rPr>
          <w:rFonts w:hint="default"/>
          <w:lang w:val="en-US" w:eastAsia="zh-CN"/>
        </w:rPr>
        <w:t>追溯框的流转规范</w:t>
      </w:r>
    </w:p>
    <w:p>
      <w:pPr>
        <w:pStyle w:val="10"/>
        <w:ind w:left="0" w:leftChars="0" w:firstLine="600" w:firstLineChars="200"/>
        <w:rPr>
          <w:rFonts w:hint="default"/>
          <w:lang w:val="en-US" w:eastAsia="zh-CN"/>
        </w:rPr>
      </w:pPr>
      <w:r>
        <w:rPr>
          <w:rFonts w:hint="default"/>
          <w:lang w:val="en-US" w:eastAsia="zh-CN"/>
        </w:rPr>
        <w:t>要求规定重要产品追溯食用农产品追溯筐的构成、追溯标识和追溯筐的流转等。主要技术内容要求如下：</w:t>
      </w:r>
    </w:p>
    <w:p>
      <w:pPr>
        <w:pStyle w:val="10"/>
        <w:ind w:left="0" w:leftChars="0" w:firstLine="900" w:firstLineChars="300"/>
        <w:rPr>
          <w:rFonts w:hint="default"/>
          <w:lang w:val="en-US" w:eastAsia="zh-CN"/>
        </w:rPr>
      </w:pPr>
      <w:r>
        <w:rPr>
          <w:rFonts w:hint="default"/>
          <w:lang w:val="en-US" w:eastAsia="zh-CN"/>
        </w:rPr>
        <w:t>1）给出食用农产品追溯相关的术语与定义；</w:t>
      </w:r>
    </w:p>
    <w:p>
      <w:pPr>
        <w:pStyle w:val="10"/>
        <w:ind w:left="0" w:leftChars="0" w:firstLine="900" w:firstLineChars="300"/>
        <w:rPr>
          <w:rFonts w:hint="default"/>
          <w:lang w:val="en-US" w:eastAsia="zh-CN"/>
        </w:rPr>
      </w:pPr>
      <w:r>
        <w:rPr>
          <w:rFonts w:hint="default"/>
          <w:lang w:val="en-US" w:eastAsia="zh-CN"/>
        </w:rPr>
        <w:t>2）规定追溯筐的构成；</w:t>
      </w:r>
    </w:p>
    <w:p>
      <w:pPr>
        <w:pStyle w:val="10"/>
        <w:ind w:left="0" w:leftChars="0" w:firstLine="900" w:firstLineChars="300"/>
        <w:rPr>
          <w:rFonts w:hint="default"/>
          <w:lang w:val="en-US" w:eastAsia="zh-CN"/>
        </w:rPr>
      </w:pPr>
      <w:r>
        <w:rPr>
          <w:rFonts w:hint="default"/>
          <w:lang w:val="en-US" w:eastAsia="zh-CN"/>
        </w:rPr>
        <w:t>3）规定追溯标识的设计、内容、安装要求、印刷与外观；</w:t>
      </w:r>
    </w:p>
    <w:p>
      <w:pPr>
        <w:pStyle w:val="10"/>
        <w:ind w:left="0" w:leftChars="0" w:firstLine="900" w:firstLineChars="300"/>
        <w:rPr>
          <w:rFonts w:hint="default"/>
          <w:lang w:val="en-US" w:eastAsia="zh-CN"/>
        </w:rPr>
      </w:pPr>
      <w:r>
        <w:rPr>
          <w:rFonts w:hint="default"/>
          <w:lang w:val="en-US" w:eastAsia="zh-CN"/>
        </w:rPr>
        <w:t>4）规定追溯筐流转的设施设备要求、管理人员要求、信息要求和流转过程。</w:t>
      </w:r>
    </w:p>
    <w:p>
      <w:pPr>
        <w:pStyle w:val="10"/>
        <w:ind w:left="0" w:leftChars="0" w:firstLine="600" w:firstLineChars="200"/>
        <w:rPr>
          <w:rFonts w:hint="default"/>
          <w:lang w:val="en-US" w:eastAsia="zh-CN"/>
        </w:rPr>
      </w:pPr>
      <w:r>
        <w:rPr>
          <w:rFonts w:hint="eastAsia"/>
          <w:lang w:val="en-US" w:eastAsia="zh-CN"/>
        </w:rPr>
        <w:t>（2）</w:t>
      </w:r>
      <w:r>
        <w:rPr>
          <w:rFonts w:hint="default"/>
          <w:lang w:val="en-US" w:eastAsia="zh-CN"/>
        </w:rPr>
        <w:t>批发市场管理规范</w:t>
      </w:r>
    </w:p>
    <w:p>
      <w:pPr>
        <w:pStyle w:val="10"/>
        <w:ind w:left="0" w:leftChars="0" w:firstLine="600" w:firstLineChars="200"/>
        <w:rPr>
          <w:rFonts w:hint="default"/>
          <w:lang w:val="en-US" w:eastAsia="zh-CN"/>
        </w:rPr>
      </w:pPr>
      <w:r>
        <w:rPr>
          <w:rFonts w:hint="default"/>
          <w:lang w:val="en-US" w:eastAsia="zh-CN"/>
        </w:rPr>
        <w:t>要求规定重要产品追溯食用农产品批发市场的经营环境、经营设施设备、仓储、食用农产品检测、市场管理、销售者、追溯管理和评价与改进。主要技术内容要求如下：</w:t>
      </w:r>
    </w:p>
    <w:p>
      <w:pPr>
        <w:pStyle w:val="10"/>
        <w:ind w:left="0" w:leftChars="0" w:firstLine="900" w:firstLineChars="300"/>
        <w:rPr>
          <w:rFonts w:hint="default"/>
          <w:lang w:val="en-US" w:eastAsia="zh-CN"/>
        </w:rPr>
      </w:pPr>
      <w:r>
        <w:rPr>
          <w:rFonts w:hint="default"/>
          <w:lang w:val="en-US" w:eastAsia="zh-CN"/>
        </w:rPr>
        <w:t>1）规定农产品批发市场的经营环境要求。包括交易场所环境、设施设备、卫生保洁；</w:t>
      </w:r>
    </w:p>
    <w:p>
      <w:pPr>
        <w:pStyle w:val="10"/>
        <w:ind w:left="0" w:leftChars="0" w:firstLine="900" w:firstLineChars="300"/>
        <w:rPr>
          <w:rFonts w:hint="default"/>
          <w:lang w:val="en-US" w:eastAsia="zh-CN"/>
        </w:rPr>
      </w:pPr>
      <w:r>
        <w:rPr>
          <w:rFonts w:hint="default"/>
          <w:lang w:val="en-US" w:eastAsia="zh-CN"/>
        </w:rPr>
        <w:t xml:space="preserve">2）规定农产品批发市场的仓储要求和农产品检测要求。 </w:t>
      </w:r>
    </w:p>
    <w:p>
      <w:pPr>
        <w:pStyle w:val="10"/>
        <w:ind w:left="0" w:leftChars="0" w:firstLine="900" w:firstLineChars="300"/>
        <w:rPr>
          <w:rFonts w:hint="default"/>
          <w:lang w:val="en-US" w:eastAsia="zh-CN"/>
        </w:rPr>
      </w:pPr>
      <w:r>
        <w:rPr>
          <w:rFonts w:hint="default"/>
          <w:lang w:val="en-US" w:eastAsia="zh-CN"/>
        </w:rPr>
        <w:t>3）规定农产品批发市场的市场管理要求。</w:t>
      </w:r>
    </w:p>
    <w:p>
      <w:pPr>
        <w:pStyle w:val="10"/>
        <w:ind w:left="0" w:leftChars="0" w:firstLine="900" w:firstLineChars="300"/>
        <w:rPr>
          <w:rFonts w:hint="default"/>
          <w:lang w:val="en-US" w:eastAsia="zh-CN"/>
        </w:rPr>
      </w:pPr>
      <w:r>
        <w:rPr>
          <w:rFonts w:hint="default"/>
          <w:lang w:val="en-US" w:eastAsia="zh-CN"/>
        </w:rPr>
        <w:t>4）给出农产品批发市场对于销售者的要求。</w:t>
      </w:r>
    </w:p>
    <w:p>
      <w:pPr>
        <w:pStyle w:val="10"/>
        <w:ind w:left="0" w:leftChars="0" w:firstLine="900" w:firstLineChars="300"/>
        <w:rPr>
          <w:rFonts w:hint="default"/>
          <w:lang w:val="en-US" w:eastAsia="zh-CN"/>
        </w:rPr>
      </w:pPr>
      <w:r>
        <w:rPr>
          <w:rFonts w:hint="default"/>
          <w:lang w:val="en-US" w:eastAsia="zh-CN"/>
        </w:rPr>
        <w:t>5）规定农产品批发市场追溯管理。</w:t>
      </w:r>
    </w:p>
    <w:p>
      <w:pPr>
        <w:pStyle w:val="10"/>
        <w:ind w:left="0" w:leftChars="0" w:firstLine="600" w:firstLineChars="200"/>
        <w:rPr>
          <w:rFonts w:hint="default"/>
          <w:lang w:val="en-US" w:eastAsia="zh-CN"/>
        </w:rPr>
      </w:pPr>
      <w:r>
        <w:rPr>
          <w:rFonts w:hint="eastAsia"/>
          <w:lang w:val="en-US" w:eastAsia="zh-CN"/>
        </w:rPr>
        <w:t>（3）</w:t>
      </w:r>
      <w:r>
        <w:rPr>
          <w:rFonts w:hint="default"/>
          <w:lang w:val="en-US" w:eastAsia="zh-CN"/>
        </w:rPr>
        <w:t xml:space="preserve">菜市场管理规范  </w:t>
      </w:r>
    </w:p>
    <w:p>
      <w:pPr>
        <w:pStyle w:val="10"/>
        <w:ind w:left="0" w:leftChars="0" w:firstLine="600" w:firstLineChars="200"/>
        <w:rPr>
          <w:rFonts w:hint="default"/>
          <w:lang w:val="en-US" w:eastAsia="zh-CN"/>
        </w:rPr>
      </w:pPr>
      <w:r>
        <w:rPr>
          <w:rFonts w:hint="default"/>
          <w:lang w:val="en-US" w:eastAsia="zh-CN"/>
        </w:rPr>
        <w:t>规定重要产品追溯食用农产品菜市场管理的基本要求、经营管理要求、公共服务与管理、追溯管理和评价与改进等。主要技术内容要求如下：</w:t>
      </w:r>
    </w:p>
    <w:p>
      <w:pPr>
        <w:pStyle w:val="10"/>
        <w:ind w:left="0" w:leftChars="0" w:firstLine="900" w:firstLineChars="300"/>
        <w:rPr>
          <w:rFonts w:hint="default"/>
          <w:lang w:val="en-US" w:eastAsia="zh-CN"/>
        </w:rPr>
      </w:pPr>
      <w:r>
        <w:rPr>
          <w:rFonts w:hint="default"/>
          <w:lang w:val="en-US" w:eastAsia="zh-CN"/>
        </w:rPr>
        <w:t>1）规定食用农产品菜市场管理的基本要求，包括场所环境、设施设备、卫生保洁；</w:t>
      </w:r>
    </w:p>
    <w:p>
      <w:pPr>
        <w:pStyle w:val="10"/>
        <w:ind w:left="0" w:leftChars="0" w:firstLine="900" w:firstLineChars="300"/>
        <w:rPr>
          <w:rFonts w:hint="default"/>
          <w:lang w:val="en-US" w:eastAsia="zh-CN"/>
        </w:rPr>
      </w:pPr>
      <w:r>
        <w:rPr>
          <w:rFonts w:hint="default"/>
          <w:lang w:val="en-US" w:eastAsia="zh-CN"/>
        </w:rPr>
        <w:t xml:space="preserve">2）规定经营者的管理要求，包括经营规范和档位规范； </w:t>
      </w:r>
    </w:p>
    <w:p>
      <w:pPr>
        <w:pStyle w:val="10"/>
        <w:ind w:left="0" w:leftChars="0" w:firstLine="900" w:firstLineChars="300"/>
        <w:rPr>
          <w:rFonts w:hint="default"/>
          <w:lang w:val="en-US" w:eastAsia="zh-CN"/>
        </w:rPr>
      </w:pPr>
      <w:r>
        <w:rPr>
          <w:rFonts w:hint="default"/>
          <w:lang w:val="en-US" w:eastAsia="zh-CN"/>
        </w:rPr>
        <w:t>3）规定食用农产品菜市场管理规范的公共服务和日常管理；</w:t>
      </w:r>
    </w:p>
    <w:p>
      <w:pPr>
        <w:pStyle w:val="10"/>
        <w:ind w:left="0" w:leftChars="0" w:firstLine="900" w:firstLineChars="300"/>
        <w:rPr>
          <w:rFonts w:hint="default"/>
          <w:lang w:val="en-US" w:eastAsia="zh-CN"/>
        </w:rPr>
      </w:pPr>
      <w:r>
        <w:rPr>
          <w:rFonts w:hint="default"/>
          <w:lang w:val="en-US" w:eastAsia="zh-CN"/>
        </w:rPr>
        <w:t>4）给出食用农产品菜市场追溯管理要求，包括总体要求、基础管理和业务流程方面的管理要求；</w:t>
      </w:r>
    </w:p>
    <w:p>
      <w:pPr>
        <w:pStyle w:val="10"/>
        <w:ind w:left="0" w:leftChars="0" w:firstLine="900" w:firstLineChars="300"/>
        <w:rPr>
          <w:rFonts w:hint="default"/>
          <w:lang w:val="en-US" w:eastAsia="zh-CN"/>
        </w:rPr>
      </w:pPr>
      <w:r>
        <w:rPr>
          <w:rFonts w:hint="default"/>
          <w:lang w:val="en-US" w:eastAsia="zh-CN"/>
        </w:rPr>
        <w:t>5）规定食用农产品菜市场管理规范的评价与改进。</w:t>
      </w:r>
    </w:p>
    <w:p>
      <w:pPr>
        <w:pStyle w:val="10"/>
        <w:ind w:left="0" w:leftChars="0" w:firstLine="600" w:firstLineChars="200"/>
        <w:rPr>
          <w:rFonts w:hint="default"/>
          <w:lang w:val="en-US" w:eastAsia="zh-CN"/>
        </w:rPr>
      </w:pPr>
      <w:r>
        <w:rPr>
          <w:rFonts w:hint="eastAsia"/>
          <w:lang w:val="en-US" w:eastAsia="zh-CN"/>
        </w:rPr>
        <w:t>（4）</w:t>
      </w:r>
      <w:r>
        <w:rPr>
          <w:rFonts w:hint="default"/>
          <w:lang w:val="en-US" w:eastAsia="zh-CN"/>
        </w:rPr>
        <w:t>超市管理规范 </w:t>
      </w:r>
    </w:p>
    <w:p>
      <w:pPr>
        <w:pStyle w:val="10"/>
        <w:ind w:left="0" w:leftChars="0" w:firstLine="600" w:firstLineChars="200"/>
        <w:rPr>
          <w:rFonts w:hint="default"/>
          <w:lang w:val="en-US" w:eastAsia="zh-CN"/>
        </w:rPr>
      </w:pPr>
      <w:r>
        <w:rPr>
          <w:rFonts w:hint="default"/>
          <w:lang w:val="en-US" w:eastAsia="zh-CN"/>
        </w:rPr>
        <w:t>规定重要产品追溯食用农产品超市管理的总则、场地要求、人员要求、设施设备、采购、运输、追溯管理、经营和服务改进等。主要技术内容要求如下：</w:t>
      </w:r>
    </w:p>
    <w:p>
      <w:pPr>
        <w:pStyle w:val="10"/>
        <w:ind w:left="0" w:leftChars="0" w:firstLine="900" w:firstLineChars="300"/>
        <w:rPr>
          <w:rFonts w:hint="default"/>
          <w:lang w:val="en-US" w:eastAsia="zh-CN"/>
        </w:rPr>
      </w:pPr>
      <w:r>
        <w:rPr>
          <w:rFonts w:hint="default"/>
          <w:lang w:val="en-US" w:eastAsia="zh-CN"/>
        </w:rPr>
        <w:t>1）规定食用农产品超市管理规范的总体要求；</w:t>
      </w:r>
    </w:p>
    <w:p>
      <w:pPr>
        <w:pStyle w:val="10"/>
        <w:ind w:left="0" w:leftChars="0" w:firstLine="900" w:firstLineChars="300"/>
        <w:rPr>
          <w:rFonts w:hint="default"/>
          <w:lang w:val="en-US" w:eastAsia="zh-CN"/>
        </w:rPr>
      </w:pPr>
      <w:r>
        <w:rPr>
          <w:rFonts w:hint="default"/>
          <w:lang w:val="en-US" w:eastAsia="zh-CN"/>
        </w:rPr>
        <w:t xml:space="preserve">2）规定食用农产品超市管理规范的场地要求； </w:t>
      </w:r>
    </w:p>
    <w:p>
      <w:pPr>
        <w:pStyle w:val="10"/>
        <w:ind w:left="0" w:leftChars="0" w:firstLine="900" w:firstLineChars="300"/>
        <w:rPr>
          <w:rFonts w:hint="default"/>
          <w:lang w:val="en-US" w:eastAsia="zh-CN"/>
        </w:rPr>
      </w:pPr>
      <w:r>
        <w:rPr>
          <w:rFonts w:hint="default"/>
          <w:lang w:val="en-US" w:eastAsia="zh-CN"/>
        </w:rPr>
        <w:t>3）规定食用农产品超市管理的设施设备，包括陈列设施设备、加工设施设备、称重及包装设施设备、卫生设施设备；</w:t>
      </w:r>
    </w:p>
    <w:p>
      <w:pPr>
        <w:pStyle w:val="10"/>
        <w:ind w:left="0" w:leftChars="0" w:firstLine="900" w:firstLineChars="300"/>
        <w:rPr>
          <w:rFonts w:hint="default"/>
          <w:lang w:val="en-US" w:eastAsia="zh-CN"/>
        </w:rPr>
      </w:pPr>
      <w:r>
        <w:rPr>
          <w:rFonts w:hint="default"/>
          <w:lang w:val="en-US" w:eastAsia="zh-CN"/>
        </w:rPr>
        <w:t>4）给出食用农产品超市管理规范的采购、运输和追溯管理的要求；</w:t>
      </w:r>
    </w:p>
    <w:p>
      <w:pPr>
        <w:pStyle w:val="10"/>
        <w:ind w:left="0" w:leftChars="0" w:firstLine="900" w:firstLineChars="300"/>
        <w:rPr>
          <w:rFonts w:hint="default"/>
          <w:lang w:val="en-US" w:eastAsia="zh-CN"/>
        </w:rPr>
      </w:pPr>
      <w:r>
        <w:rPr>
          <w:rFonts w:hint="default"/>
          <w:lang w:val="en-US" w:eastAsia="zh-CN"/>
        </w:rPr>
        <w:t>5）规定食用农产品超市的经营要求，包括产品接收、贮存、销售管理、包装与标识、废弃物管理、产品召回等方面要求；</w:t>
      </w:r>
    </w:p>
    <w:p>
      <w:pPr>
        <w:pStyle w:val="10"/>
        <w:ind w:left="0" w:leftChars="0" w:firstLine="900" w:firstLineChars="300"/>
        <w:rPr>
          <w:rFonts w:hint="default"/>
          <w:lang w:val="en-US" w:eastAsia="zh-CN"/>
        </w:rPr>
      </w:pPr>
      <w:r>
        <w:rPr>
          <w:rFonts w:hint="default"/>
          <w:lang w:val="en-US" w:eastAsia="zh-CN"/>
        </w:rPr>
        <w:t>6）规定食用农产品超市管理规范的评价与改进。</w:t>
      </w:r>
    </w:p>
    <w:p>
      <w:pPr>
        <w:pStyle w:val="10"/>
        <w:ind w:left="0" w:leftChars="0" w:firstLine="600" w:firstLineChars="200"/>
        <w:rPr>
          <w:rFonts w:hint="default"/>
          <w:lang w:val="en-US" w:eastAsia="zh-CN"/>
        </w:rPr>
      </w:pPr>
      <w:r>
        <w:rPr>
          <w:rFonts w:hint="eastAsia"/>
          <w:lang w:val="en-US" w:eastAsia="zh-CN"/>
        </w:rPr>
        <w:t>（5）</w:t>
      </w:r>
      <w:r>
        <w:rPr>
          <w:rFonts w:hint="default"/>
          <w:lang w:val="en-US" w:eastAsia="zh-CN"/>
        </w:rPr>
        <w:t>配送单位管理规范</w:t>
      </w:r>
    </w:p>
    <w:p>
      <w:pPr>
        <w:pStyle w:val="10"/>
        <w:ind w:left="0" w:leftChars="0" w:firstLine="600" w:firstLineChars="200"/>
        <w:rPr>
          <w:rFonts w:hint="default"/>
          <w:lang w:val="en-US" w:eastAsia="zh-CN"/>
        </w:rPr>
      </w:pPr>
      <w:r>
        <w:rPr>
          <w:rFonts w:hint="default"/>
          <w:lang w:val="en-US" w:eastAsia="zh-CN"/>
        </w:rPr>
        <w:t>要求规定重要产品追溯食用农产品配送机构管理的基本要求、业务管理、配送运输管理、投诉处理、评价和改进等。主要技术内容要求如下：</w:t>
      </w:r>
    </w:p>
    <w:p>
      <w:pPr>
        <w:pStyle w:val="10"/>
        <w:ind w:left="0" w:leftChars="0" w:firstLine="900" w:firstLineChars="300"/>
        <w:rPr>
          <w:rFonts w:hint="default"/>
          <w:lang w:val="en-US" w:eastAsia="zh-CN"/>
        </w:rPr>
      </w:pPr>
      <w:r>
        <w:rPr>
          <w:rFonts w:hint="default"/>
          <w:lang w:val="en-US" w:eastAsia="zh-CN"/>
        </w:rPr>
        <w:t>1）给出食用农产品配送机构相关的术语与定义；</w:t>
      </w:r>
    </w:p>
    <w:p>
      <w:pPr>
        <w:pStyle w:val="10"/>
        <w:ind w:left="0" w:leftChars="0" w:firstLine="900" w:firstLineChars="300"/>
        <w:rPr>
          <w:rFonts w:hint="default"/>
          <w:lang w:val="en-US" w:eastAsia="zh-CN"/>
        </w:rPr>
      </w:pPr>
      <w:r>
        <w:rPr>
          <w:rFonts w:hint="default"/>
          <w:lang w:val="en-US" w:eastAsia="zh-CN"/>
        </w:rPr>
        <w:t xml:space="preserve">2）给出食用农产品配送机构的基本要求，并从机构要求、产品要求、卫生管理要求、人员要求、设施要求五个方面进行规定； </w:t>
      </w:r>
    </w:p>
    <w:p>
      <w:pPr>
        <w:pStyle w:val="10"/>
        <w:ind w:left="0" w:leftChars="0" w:firstLine="900" w:firstLineChars="300"/>
        <w:rPr>
          <w:rFonts w:hint="default"/>
          <w:lang w:val="en-US" w:eastAsia="zh-CN"/>
        </w:rPr>
      </w:pPr>
      <w:r>
        <w:rPr>
          <w:rFonts w:hint="default"/>
          <w:lang w:val="en-US" w:eastAsia="zh-CN"/>
        </w:rPr>
        <w:t>3）给出食用农产品配送机构业务管理要求，分别是总体要求、基础管理、追溯管理、流程管理、数据采集内容；</w:t>
      </w:r>
    </w:p>
    <w:p>
      <w:pPr>
        <w:pStyle w:val="10"/>
        <w:ind w:left="0" w:leftChars="0" w:firstLine="900" w:firstLineChars="300"/>
        <w:rPr>
          <w:rFonts w:hint="default"/>
          <w:lang w:val="en-US" w:eastAsia="zh-CN"/>
        </w:rPr>
      </w:pPr>
      <w:r>
        <w:rPr>
          <w:rFonts w:hint="default"/>
          <w:lang w:val="en-US" w:eastAsia="zh-CN"/>
        </w:rPr>
        <w:t>4）规定食用农产品配送运输管理；</w:t>
      </w:r>
    </w:p>
    <w:p>
      <w:pPr>
        <w:pStyle w:val="10"/>
        <w:ind w:left="0" w:leftChars="0" w:firstLine="900" w:firstLineChars="300"/>
        <w:rPr>
          <w:rFonts w:hint="default"/>
          <w:lang w:val="en-US" w:eastAsia="zh-CN"/>
        </w:rPr>
      </w:pPr>
      <w:r>
        <w:rPr>
          <w:rFonts w:hint="default"/>
          <w:lang w:val="en-US" w:eastAsia="zh-CN"/>
        </w:rPr>
        <w:t>5）规定食用农产品配送机构的投诉处理；</w:t>
      </w:r>
    </w:p>
    <w:p>
      <w:pPr>
        <w:pStyle w:val="10"/>
        <w:ind w:left="0" w:leftChars="0" w:firstLine="900" w:firstLineChars="300"/>
        <w:rPr>
          <w:rFonts w:hint="default"/>
          <w:lang w:val="en-US" w:eastAsia="zh-CN"/>
        </w:rPr>
      </w:pPr>
      <w:r>
        <w:rPr>
          <w:rFonts w:hint="default"/>
          <w:lang w:val="en-US" w:eastAsia="zh-CN"/>
        </w:rPr>
        <w:t>6）规定了食用农产品配送机构的评价与改进。</w:t>
      </w:r>
    </w:p>
    <w:p>
      <w:pPr>
        <w:pStyle w:val="10"/>
        <w:ind w:left="0" w:leftChars="0" w:firstLine="600" w:firstLineChars="200"/>
        <w:rPr>
          <w:rFonts w:hint="default"/>
          <w:lang w:val="en-US" w:eastAsia="zh-CN"/>
        </w:rPr>
      </w:pPr>
      <w:r>
        <w:rPr>
          <w:rFonts w:hint="eastAsia"/>
          <w:lang w:val="en-US" w:eastAsia="zh-CN"/>
        </w:rPr>
        <w:t>（6）</w:t>
      </w:r>
      <w:r>
        <w:rPr>
          <w:rFonts w:hint="default"/>
          <w:lang w:val="en-US" w:eastAsia="zh-CN"/>
        </w:rPr>
        <w:t>追溯码技术规范</w:t>
      </w:r>
    </w:p>
    <w:p>
      <w:pPr>
        <w:pStyle w:val="10"/>
        <w:ind w:left="0" w:leftChars="0" w:firstLine="600" w:firstLineChars="200"/>
        <w:rPr>
          <w:rFonts w:hint="default"/>
          <w:lang w:val="en-US" w:eastAsia="zh-CN"/>
        </w:rPr>
      </w:pPr>
      <w:r>
        <w:rPr>
          <w:rFonts w:hint="default"/>
          <w:lang w:val="en-US" w:eastAsia="zh-CN"/>
        </w:rPr>
        <w:t>要求规定重要产品追溯码的要求、追溯码结构、编码载体和追溯码管理要求。主要技术内容要求如下：</w:t>
      </w:r>
    </w:p>
    <w:p>
      <w:pPr>
        <w:pStyle w:val="10"/>
        <w:ind w:left="0" w:leftChars="0" w:firstLine="900" w:firstLineChars="300"/>
        <w:rPr>
          <w:rFonts w:hint="default"/>
          <w:lang w:val="en-US" w:eastAsia="zh-CN"/>
        </w:rPr>
      </w:pPr>
      <w:r>
        <w:rPr>
          <w:rFonts w:hint="default"/>
          <w:lang w:val="en-US" w:eastAsia="zh-CN"/>
        </w:rPr>
        <w:t>1）给出追溯码相关的术语与定义；</w:t>
      </w:r>
    </w:p>
    <w:p>
      <w:pPr>
        <w:pStyle w:val="10"/>
        <w:ind w:left="0" w:leftChars="0" w:firstLine="900" w:firstLineChars="300"/>
        <w:rPr>
          <w:rFonts w:hint="default"/>
          <w:lang w:val="en-US" w:eastAsia="zh-CN"/>
        </w:rPr>
      </w:pPr>
      <w:r>
        <w:rPr>
          <w:rFonts w:hint="default"/>
          <w:lang w:val="en-US" w:eastAsia="zh-CN"/>
        </w:rPr>
        <w:t>2）给出追溯码相关要求；</w:t>
      </w:r>
    </w:p>
    <w:p>
      <w:pPr>
        <w:pStyle w:val="10"/>
        <w:ind w:left="0" w:leftChars="0" w:firstLine="900" w:firstLineChars="300"/>
        <w:rPr>
          <w:rFonts w:hint="default"/>
          <w:lang w:val="en-US" w:eastAsia="zh-CN"/>
        </w:rPr>
      </w:pPr>
      <w:r>
        <w:rPr>
          <w:rFonts w:hint="default"/>
          <w:lang w:val="en-US" w:eastAsia="zh-CN"/>
        </w:rPr>
        <w:t>3）给出追溯码的结构，包括基本构成、交互方式、扩展要求；</w:t>
      </w:r>
    </w:p>
    <w:p>
      <w:pPr>
        <w:pStyle w:val="10"/>
        <w:ind w:left="0" w:leftChars="0" w:firstLine="900" w:firstLineChars="300"/>
        <w:rPr>
          <w:rFonts w:hint="default"/>
          <w:lang w:val="en-US" w:eastAsia="zh-CN"/>
        </w:rPr>
      </w:pPr>
      <w:r>
        <w:rPr>
          <w:rFonts w:hint="default"/>
          <w:lang w:val="en-US" w:eastAsia="zh-CN"/>
        </w:rPr>
        <w:t>4）给出追溯码的编码载体；</w:t>
      </w:r>
    </w:p>
    <w:p>
      <w:pPr>
        <w:pStyle w:val="10"/>
        <w:ind w:left="0" w:leftChars="0" w:firstLine="900" w:firstLineChars="300"/>
        <w:rPr>
          <w:rFonts w:hint="default"/>
          <w:lang w:val="en-US" w:eastAsia="zh-CN"/>
        </w:rPr>
      </w:pPr>
      <w:r>
        <w:rPr>
          <w:rFonts w:hint="default"/>
          <w:lang w:val="en-US" w:eastAsia="zh-CN"/>
        </w:rPr>
        <w:t>6）规定追溯码的管理内容。</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2.实施期限</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实施期限为合同签订至系列标准文本批准发布实施。</w:t>
      </w:r>
    </w:p>
    <w:p>
      <w:pPr>
        <w:pStyle w:val="2"/>
        <w:ind w:left="0" w:leftChars="0"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3.服务费支付方式</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服务费分两次支付。合肥市市场监督管理局的</w:t>
      </w:r>
      <w:r>
        <w:rPr>
          <w:rFonts w:hint="default" w:ascii="仿宋_GB2312" w:hAnsi="仿宋_GB2312" w:eastAsia="仿宋_GB2312" w:cs="仿宋_GB2312"/>
          <w:color w:val="auto"/>
          <w:sz w:val="32"/>
          <w:szCs w:val="32"/>
          <w:lang w:val="en-US" w:eastAsia="zh-CN"/>
        </w:rPr>
        <w:t>系列标准制定计划项目下达后5日内支付50%，系列标准文本经</w:t>
      </w:r>
      <w:r>
        <w:rPr>
          <w:rFonts w:hint="eastAsia" w:ascii="仿宋_GB2312" w:hAnsi="仿宋_GB2312" w:eastAsia="仿宋_GB2312" w:cs="仿宋_GB2312"/>
          <w:color w:val="auto"/>
          <w:sz w:val="32"/>
          <w:szCs w:val="32"/>
          <w:lang w:val="en-US" w:eastAsia="zh-CN"/>
        </w:rPr>
        <w:t>合肥市</w:t>
      </w:r>
      <w:r>
        <w:rPr>
          <w:rFonts w:hint="default" w:ascii="仿宋_GB2312" w:hAnsi="仿宋_GB2312" w:eastAsia="仿宋_GB2312" w:cs="仿宋_GB2312"/>
          <w:color w:val="auto"/>
          <w:sz w:val="32"/>
          <w:szCs w:val="32"/>
          <w:lang w:val="en-US" w:eastAsia="zh-CN"/>
        </w:rPr>
        <w:t>市场监督管理局批准发布后5日内支付50%。如系列标准制定计划项目未下达，则合同自动终止，甲方无需支付任何费用。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供应商</w:t>
      </w:r>
      <w:r>
        <w:rPr>
          <w:rFonts w:hint="eastAsia" w:ascii="黑体" w:hAnsi="黑体" w:eastAsia="黑体" w:cs="黑体"/>
          <w:b w:val="0"/>
          <w:bCs w:val="0"/>
          <w:sz w:val="32"/>
          <w:szCs w:val="32"/>
          <w:lang w:val="en-US" w:eastAsia="zh-CN"/>
        </w:rPr>
        <w:t>资格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1.具有独立法人的资格，具有有效的营业执照；</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3.本项目不接受联合申报；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4.供应商负面清单，存在不良信用信息记录且有以下情形之一的，将被视为无效询价响应：</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（1）被人民法院列入失信被执行人的;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（2）供应商或其法定代表人或拟派项目经理(项目负责人)被人民检察院列入行贿犯罪档案的;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（3）被工商行政管理部门列入企业经营异常名录的;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（5）被政府采购监管部门列入政府采购严重违法失信行为记录名单的。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5.具有主持制定地方标准（即起草单位的排名前三）业绩证明；</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四、评标细则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项目采取综合评分法进行评审，满分100分。评标工作将由合肥市大数据资产运营有限公司组织，组成评标委员会，负责本项目的评标工作。由评标委员会对投标文件进行资格审查及符合性审查，对于通过审查的投标文件进行综合评定。具体评分细则如下：</w:t>
      </w:r>
    </w:p>
    <w:p>
      <w:pPr>
        <w:pStyle w:val="2"/>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1、资格初审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944"/>
        <w:gridCol w:w="2064"/>
        <w:gridCol w:w="152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6" w:type="dxa"/>
            <w:gridSpan w:val="5"/>
            <w:noWrap w:val="0"/>
            <w:vAlign w:val="center"/>
          </w:tcPr>
          <w:p>
            <w:pPr>
              <w:pStyle w:val="17"/>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kern w:val="2"/>
                <w:sz w:val="28"/>
                <w:szCs w:val="28"/>
                <w:lang w:val="en-US" w:eastAsia="zh-CN"/>
              </w:rPr>
            </w:pPr>
            <w:r>
              <w:rPr>
                <w:rFonts w:hint="eastAsia" w:ascii="仿宋" w:hAnsi="仿宋" w:eastAsia="仿宋" w:cs="仿宋"/>
                <w:b/>
                <w:sz w:val="28"/>
                <w:szCs w:val="28"/>
                <w:lang w:val="en-US" w:eastAsia="zh-CN"/>
              </w:rPr>
              <w:t>资格初审一览表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04" w:type="dxa"/>
            <w:tcBorders>
              <w:bottom w:val="single" w:color="auto" w:sz="4" w:space="0"/>
            </w:tcBorders>
            <w:noWrap w:val="0"/>
            <w:vAlign w:val="center"/>
          </w:tcPr>
          <w:p>
            <w:pPr>
              <w:adjustRightInd w:val="0"/>
              <w:snapToGrid w:val="0"/>
              <w:spacing w:line="360" w:lineRule="auto"/>
              <w:ind w:left="0" w:leftChars="0" w:right="-10"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944" w:type="dxa"/>
            <w:tcBorders>
              <w:bottom w:val="single" w:color="auto" w:sz="4" w:space="0"/>
            </w:tcBorders>
            <w:noWrap w:val="0"/>
            <w:vAlign w:val="center"/>
          </w:tcPr>
          <w:p>
            <w:pPr>
              <w:pStyle w:val="17"/>
              <w:pBdr>
                <w:bottom w:val="none" w:color="auto" w:sz="0" w:space="0"/>
              </w:pBdr>
              <w:tabs>
                <w:tab w:val="clear" w:pos="4153"/>
                <w:tab w:val="clear" w:pos="8306"/>
              </w:tabs>
              <w:snapToGrid w:val="0"/>
              <w:spacing w:line="420" w:lineRule="exact"/>
              <w:ind w:right="-11"/>
              <w:jc w:val="both"/>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rPr>
              <w:t>指标名称</w:t>
            </w:r>
          </w:p>
        </w:tc>
        <w:tc>
          <w:tcPr>
            <w:tcW w:w="2064" w:type="dxa"/>
            <w:tcBorders>
              <w:bottom w:val="single" w:color="auto" w:sz="4" w:space="0"/>
            </w:tcBorders>
            <w:noWrap w:val="0"/>
            <w:vAlign w:val="center"/>
          </w:tcPr>
          <w:p>
            <w:pPr>
              <w:adjustRightInd w:val="0"/>
              <w:snapToGrid w:val="0"/>
              <w:spacing w:line="420" w:lineRule="exact"/>
              <w:ind w:left="0" w:leftChars="0" w:right="-11"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指标要求</w:t>
            </w:r>
          </w:p>
        </w:tc>
        <w:tc>
          <w:tcPr>
            <w:tcW w:w="1524" w:type="dxa"/>
            <w:tcBorders>
              <w:bottom w:val="single" w:color="auto" w:sz="4" w:space="0"/>
            </w:tcBorders>
            <w:noWrap w:val="0"/>
            <w:vAlign w:val="center"/>
          </w:tcPr>
          <w:p>
            <w:pPr>
              <w:adjustRightInd w:val="0"/>
              <w:snapToGrid w:val="0"/>
              <w:spacing w:line="420" w:lineRule="exact"/>
              <w:ind w:left="0" w:leftChars="0" w:right="-11"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是否通过</w:t>
            </w:r>
          </w:p>
        </w:tc>
        <w:tc>
          <w:tcPr>
            <w:tcW w:w="2380" w:type="dxa"/>
            <w:tcBorders>
              <w:bottom w:val="single" w:color="auto" w:sz="4" w:space="0"/>
            </w:tcBorders>
            <w:noWrap w:val="0"/>
            <w:vAlign w:val="center"/>
          </w:tcPr>
          <w:p>
            <w:pPr>
              <w:adjustRightInd w:val="0"/>
              <w:snapToGrid w:val="0"/>
              <w:spacing w:line="420" w:lineRule="exact"/>
              <w:ind w:left="0" w:leftChars="0" w:right="-11"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04" w:type="dxa"/>
            <w:tcBorders>
              <w:bottom w:val="single" w:color="auto" w:sz="4" w:space="0"/>
            </w:tcBorders>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1</w:t>
            </w:r>
          </w:p>
        </w:tc>
        <w:tc>
          <w:tcPr>
            <w:tcW w:w="1944" w:type="dxa"/>
            <w:tcBorders>
              <w:bottom w:val="single" w:color="auto" w:sz="4" w:space="0"/>
            </w:tcBorders>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营业执照或事业单位法人证书</w:t>
            </w:r>
          </w:p>
        </w:tc>
        <w:tc>
          <w:tcPr>
            <w:tcW w:w="2064" w:type="dxa"/>
            <w:tcBorders>
              <w:bottom w:val="single" w:color="auto" w:sz="4" w:space="0"/>
            </w:tcBorders>
            <w:noWrap w:val="0"/>
            <w:vAlign w:val="center"/>
          </w:tcPr>
          <w:p>
            <w:pPr>
              <w:spacing w:line="420" w:lineRule="exact"/>
              <w:ind w:left="0" w:leftChars="0" w:right="-11"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rPr>
              <w:t>合法有效</w:t>
            </w:r>
          </w:p>
        </w:tc>
        <w:tc>
          <w:tcPr>
            <w:tcW w:w="1524" w:type="dxa"/>
            <w:tcBorders>
              <w:bottom w:val="single" w:color="auto" w:sz="4" w:space="0"/>
            </w:tcBorders>
            <w:noWrap w:val="0"/>
            <w:vAlign w:val="center"/>
          </w:tcPr>
          <w:p>
            <w:pPr>
              <w:adjustRightInd w:val="0"/>
              <w:snapToGrid w:val="0"/>
              <w:spacing w:line="420" w:lineRule="exact"/>
              <w:ind w:right="-11"/>
              <w:jc w:val="both"/>
              <w:rPr>
                <w:rFonts w:hint="eastAsia" w:ascii="仿宋" w:hAnsi="仿宋" w:eastAsia="仿宋" w:cs="仿宋"/>
                <w:sz w:val="28"/>
                <w:szCs w:val="28"/>
              </w:rPr>
            </w:pPr>
          </w:p>
        </w:tc>
        <w:tc>
          <w:tcPr>
            <w:tcW w:w="2380" w:type="dxa"/>
            <w:tcBorders>
              <w:bottom w:val="single" w:color="auto" w:sz="4" w:space="0"/>
            </w:tcBorders>
            <w:noWrap w:val="0"/>
            <w:vAlign w:val="center"/>
          </w:tcPr>
          <w:p>
            <w:pPr>
              <w:adjustRightInd w:val="0"/>
              <w:snapToGrid w:val="0"/>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提供有效的营业执照（或事业单位法人证书）的</w:t>
            </w:r>
            <w:r>
              <w:rPr>
                <w:rFonts w:hint="eastAsia" w:ascii="仿宋" w:hAnsi="仿宋" w:eastAsia="仿宋" w:cs="仿宋"/>
                <w:sz w:val="28"/>
                <w:szCs w:val="28"/>
                <w:lang w:val="en-US" w:eastAsia="zh-CN"/>
              </w:rPr>
              <w:t>副本复印件并加盖公章</w:t>
            </w:r>
            <w:r>
              <w:rPr>
                <w:rFonts w:hint="eastAsia" w:ascii="仿宋" w:hAnsi="仿宋" w:eastAsia="仿宋" w:cs="仿宋"/>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04"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2</w:t>
            </w:r>
          </w:p>
        </w:tc>
        <w:tc>
          <w:tcPr>
            <w:tcW w:w="194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报价</w:t>
            </w:r>
            <w:r>
              <w:rPr>
                <w:rFonts w:hint="eastAsia" w:ascii="仿宋" w:hAnsi="仿宋" w:eastAsia="仿宋" w:cs="仿宋"/>
                <w:sz w:val="28"/>
                <w:szCs w:val="28"/>
              </w:rPr>
              <w:t>函</w:t>
            </w:r>
          </w:p>
        </w:tc>
        <w:tc>
          <w:tcPr>
            <w:tcW w:w="206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符合文件要求</w:t>
            </w:r>
          </w:p>
        </w:tc>
        <w:tc>
          <w:tcPr>
            <w:tcW w:w="1524" w:type="dxa"/>
            <w:noWrap w:val="0"/>
            <w:vAlign w:val="center"/>
          </w:tcPr>
          <w:p>
            <w:pPr>
              <w:adjustRightInd w:val="0"/>
              <w:snapToGrid w:val="0"/>
              <w:spacing w:line="420" w:lineRule="exact"/>
              <w:ind w:right="-11"/>
              <w:jc w:val="center"/>
              <w:rPr>
                <w:rFonts w:hint="eastAsia" w:ascii="仿宋" w:hAnsi="仿宋" w:eastAsia="仿宋" w:cs="仿宋"/>
                <w:sz w:val="28"/>
                <w:szCs w:val="28"/>
              </w:rPr>
            </w:pPr>
          </w:p>
        </w:tc>
        <w:tc>
          <w:tcPr>
            <w:tcW w:w="2380" w:type="dxa"/>
            <w:noWrap w:val="0"/>
            <w:vAlign w:val="center"/>
          </w:tcPr>
          <w:p>
            <w:pPr>
              <w:adjustRightInd w:val="0"/>
              <w:snapToGrid w:val="0"/>
              <w:spacing w:line="420" w:lineRule="exact"/>
              <w:ind w:left="0" w:leftChars="0" w:right="-11"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详见第七章</w:t>
            </w:r>
            <w:r>
              <w:rPr>
                <w:rFonts w:hint="eastAsia" w:ascii="仿宋" w:hAnsi="仿宋" w:eastAsia="仿宋" w:cs="仿宋"/>
                <w:sz w:val="28"/>
                <w:szCs w:val="28"/>
              </w:rPr>
              <w:t>响应文件格式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报价函</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3</w:t>
            </w:r>
          </w:p>
        </w:tc>
        <w:tc>
          <w:tcPr>
            <w:tcW w:w="194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val="en-US" w:eastAsia="zh-CN"/>
              </w:rPr>
              <w:t>委托</w:t>
            </w:r>
            <w:r>
              <w:rPr>
                <w:rFonts w:hint="eastAsia" w:ascii="仿宋" w:hAnsi="仿宋" w:eastAsia="仿宋" w:cs="仿宋"/>
                <w:sz w:val="28"/>
                <w:szCs w:val="28"/>
              </w:rPr>
              <w:t>书</w:t>
            </w:r>
          </w:p>
        </w:tc>
        <w:tc>
          <w:tcPr>
            <w:tcW w:w="206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符合文件要求</w:t>
            </w:r>
          </w:p>
        </w:tc>
        <w:tc>
          <w:tcPr>
            <w:tcW w:w="1524" w:type="dxa"/>
            <w:noWrap w:val="0"/>
            <w:vAlign w:val="center"/>
          </w:tcPr>
          <w:p>
            <w:pPr>
              <w:adjustRightInd w:val="0"/>
              <w:snapToGrid w:val="0"/>
              <w:spacing w:line="420" w:lineRule="exact"/>
              <w:ind w:right="-11"/>
              <w:jc w:val="center"/>
              <w:rPr>
                <w:rFonts w:hint="eastAsia" w:ascii="仿宋" w:hAnsi="仿宋" w:eastAsia="仿宋" w:cs="仿宋"/>
                <w:sz w:val="28"/>
                <w:szCs w:val="28"/>
              </w:rPr>
            </w:pPr>
          </w:p>
        </w:tc>
        <w:tc>
          <w:tcPr>
            <w:tcW w:w="2380" w:type="dxa"/>
            <w:noWrap w:val="0"/>
            <w:vAlign w:val="center"/>
          </w:tcPr>
          <w:p>
            <w:pPr>
              <w:adjustRightInd w:val="0"/>
              <w:snapToGrid w:val="0"/>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详见第七章响应文件格式“法定代表人授权委托书”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944" w:type="dxa"/>
            <w:noWrap w:val="0"/>
            <w:vAlign w:val="center"/>
          </w:tcPr>
          <w:p>
            <w:pPr>
              <w:spacing w:after="50"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无重大违法记录声明函、无不良信用记录声明函</w:t>
            </w:r>
          </w:p>
        </w:tc>
        <w:tc>
          <w:tcPr>
            <w:tcW w:w="2064" w:type="dxa"/>
            <w:noWrap w:val="0"/>
            <w:vAlign w:val="center"/>
          </w:tcPr>
          <w:p>
            <w:pPr>
              <w:spacing w:after="50"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符合公告要求</w:t>
            </w:r>
          </w:p>
        </w:tc>
        <w:tc>
          <w:tcPr>
            <w:tcW w:w="1524" w:type="dxa"/>
            <w:noWrap w:val="0"/>
            <w:vAlign w:val="center"/>
          </w:tcPr>
          <w:p>
            <w:pPr>
              <w:adjustRightInd w:val="0"/>
              <w:snapToGrid w:val="0"/>
              <w:spacing w:line="360" w:lineRule="auto"/>
              <w:ind w:right="-10"/>
              <w:jc w:val="center"/>
              <w:rPr>
                <w:rFonts w:hint="eastAsia" w:ascii="仿宋" w:hAnsi="仿宋" w:eastAsia="仿宋" w:cs="仿宋"/>
                <w:sz w:val="28"/>
                <w:szCs w:val="28"/>
              </w:rPr>
            </w:pPr>
          </w:p>
        </w:tc>
        <w:tc>
          <w:tcPr>
            <w:tcW w:w="2380"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详见第七章响应文件格式“无重大违法记录声明函、无不良信用记录声明函”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4" w:hRule="atLeast"/>
        </w:trPr>
        <w:tc>
          <w:tcPr>
            <w:tcW w:w="604"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94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业绩</w:t>
            </w:r>
          </w:p>
        </w:tc>
        <w:tc>
          <w:tcPr>
            <w:tcW w:w="2064" w:type="dxa"/>
            <w:noWrap w:val="0"/>
            <w:vAlign w:val="center"/>
          </w:tcPr>
          <w:p>
            <w:pPr>
              <w:spacing w:line="420" w:lineRule="exact"/>
              <w:ind w:left="0" w:leftChars="0" w:right="-11" w:firstLine="0" w:firstLineChars="0"/>
              <w:jc w:val="both"/>
              <w:rPr>
                <w:rFonts w:hint="eastAsia" w:ascii="仿宋" w:hAnsi="仿宋" w:eastAsia="仿宋" w:cs="仿宋"/>
                <w:sz w:val="28"/>
                <w:szCs w:val="28"/>
              </w:rPr>
            </w:pPr>
            <w:r>
              <w:rPr>
                <w:rFonts w:hint="eastAsia" w:ascii="仿宋" w:hAnsi="仿宋" w:eastAsia="仿宋" w:cs="仿宋"/>
                <w:sz w:val="28"/>
                <w:szCs w:val="28"/>
              </w:rPr>
              <w:t>符合公告要求</w:t>
            </w:r>
          </w:p>
        </w:tc>
        <w:tc>
          <w:tcPr>
            <w:tcW w:w="1524" w:type="dxa"/>
            <w:noWrap w:val="0"/>
            <w:vAlign w:val="center"/>
          </w:tcPr>
          <w:p>
            <w:pPr>
              <w:adjustRightInd w:val="0"/>
              <w:snapToGrid w:val="0"/>
              <w:spacing w:line="420" w:lineRule="exact"/>
              <w:ind w:right="-11"/>
              <w:jc w:val="center"/>
              <w:rPr>
                <w:rFonts w:hint="eastAsia" w:ascii="仿宋" w:hAnsi="仿宋" w:eastAsia="仿宋" w:cs="仿宋"/>
                <w:sz w:val="28"/>
                <w:szCs w:val="28"/>
              </w:rPr>
            </w:pPr>
          </w:p>
        </w:tc>
        <w:tc>
          <w:tcPr>
            <w:tcW w:w="2380" w:type="dxa"/>
            <w:noWrap w:val="0"/>
            <w:vAlign w:val="center"/>
          </w:tcPr>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rPr>
              <w:t>业绩证明材料：</w:t>
            </w:r>
          </w:p>
          <w:p>
            <w:pPr>
              <w:adjustRightInd w:val="0"/>
              <w:snapToGrid w:val="0"/>
              <w:spacing w:line="360" w:lineRule="auto"/>
              <w:ind w:left="0" w:leftChars="0" w:right="-1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提供</w:t>
            </w:r>
            <w:r>
              <w:rPr>
                <w:rFonts w:hint="eastAsia" w:ascii="仿宋" w:hAnsi="仿宋" w:eastAsia="仿宋" w:cs="仿宋"/>
                <w:sz w:val="28"/>
                <w:szCs w:val="28"/>
              </w:rPr>
              <w:t>全国标准信息公共服务平台（http://std.samr.gov.cn/）查询截图和</w:t>
            </w:r>
            <w:r>
              <w:rPr>
                <w:rFonts w:hint="eastAsia" w:ascii="仿宋" w:hAnsi="仿宋" w:eastAsia="仿宋" w:cs="仿宋"/>
                <w:sz w:val="28"/>
                <w:szCs w:val="28"/>
                <w:lang w:val="en-US" w:eastAsia="zh-CN"/>
              </w:rPr>
              <w:t>平台下载的</w:t>
            </w:r>
            <w:r>
              <w:rPr>
                <w:rFonts w:hint="eastAsia" w:ascii="仿宋" w:hAnsi="仿宋" w:eastAsia="仿宋" w:cs="仿宋"/>
                <w:sz w:val="28"/>
                <w:szCs w:val="28"/>
              </w:rPr>
              <w:t>对应标准文本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6" w:type="dxa"/>
            <w:gridSpan w:val="5"/>
            <w:noWrap w:val="0"/>
            <w:vAlign w:val="center"/>
          </w:tcPr>
          <w:p>
            <w:pPr>
              <w:adjustRightInd w:val="0"/>
              <w:snapToGrid w:val="0"/>
              <w:spacing w:line="360" w:lineRule="auto"/>
              <w:ind w:right="-10"/>
              <w:rPr>
                <w:rFonts w:hint="eastAsia" w:ascii="仿宋" w:hAnsi="仿宋" w:eastAsia="仿宋" w:cs="仿宋"/>
                <w:b/>
                <w:sz w:val="28"/>
                <w:szCs w:val="28"/>
              </w:rPr>
            </w:pPr>
            <w:r>
              <w:rPr>
                <w:rFonts w:hint="eastAsia" w:ascii="仿宋" w:hAnsi="仿宋" w:eastAsia="仿宋" w:cs="仿宋"/>
                <w:b/>
                <w:sz w:val="28"/>
                <w:szCs w:val="28"/>
                <w:lang w:val="en-US" w:eastAsia="zh-CN"/>
              </w:rPr>
              <w:t>初审</w:t>
            </w:r>
            <w:r>
              <w:rPr>
                <w:rFonts w:hint="eastAsia" w:ascii="仿宋" w:hAnsi="仿宋" w:eastAsia="仿宋" w:cs="仿宋"/>
                <w:b/>
                <w:sz w:val="28"/>
                <w:szCs w:val="28"/>
              </w:rPr>
              <w:t>指标通过标准：投标人必须通过上述全部指标。</w:t>
            </w:r>
          </w:p>
          <w:p>
            <w:pPr>
              <w:adjustRightInd w:val="0"/>
              <w:snapToGrid w:val="0"/>
              <w:spacing w:line="360" w:lineRule="auto"/>
              <w:ind w:right="-11"/>
              <w:jc w:val="left"/>
              <w:rPr>
                <w:rFonts w:hint="eastAsia" w:ascii="仿宋" w:hAnsi="仿宋" w:eastAsia="仿宋" w:cs="仿宋"/>
                <w:b/>
                <w:sz w:val="28"/>
                <w:szCs w:val="28"/>
              </w:rPr>
            </w:pPr>
            <w:r>
              <w:rPr>
                <w:rFonts w:hint="eastAsia" w:ascii="仿宋" w:hAnsi="仿宋" w:eastAsia="仿宋" w:cs="仿宋"/>
                <w:b/>
                <w:sz w:val="28"/>
                <w:szCs w:val="28"/>
                <w:lang w:val="en-US" w:eastAsia="zh-CN"/>
              </w:rPr>
              <w:t>询价</w:t>
            </w:r>
            <w:r>
              <w:rPr>
                <w:rFonts w:hint="eastAsia" w:ascii="仿宋" w:hAnsi="仿宋" w:eastAsia="仿宋" w:cs="仿宋"/>
                <w:b/>
                <w:sz w:val="28"/>
                <w:szCs w:val="28"/>
              </w:rPr>
              <w:t>小组根据表中所列各项指标对投标人是否为有效标进行评审。符合评审指标通过标准的，为有效投标。未通过评审的投标人将不参与</w:t>
            </w:r>
            <w:r>
              <w:rPr>
                <w:rFonts w:hint="eastAsia" w:ascii="仿宋" w:hAnsi="仿宋" w:eastAsia="仿宋" w:cs="仿宋"/>
                <w:b/>
                <w:sz w:val="28"/>
                <w:szCs w:val="28"/>
                <w:lang w:val="en-US" w:eastAsia="zh-CN"/>
              </w:rPr>
              <w:t>询价</w:t>
            </w:r>
            <w:r>
              <w:rPr>
                <w:rFonts w:hint="eastAsia" w:ascii="仿宋" w:hAnsi="仿宋" w:eastAsia="仿宋" w:cs="仿宋"/>
                <w:b/>
                <w:sz w:val="28"/>
                <w:szCs w:val="28"/>
              </w:rPr>
              <w:t>。</w:t>
            </w:r>
          </w:p>
        </w:tc>
      </w:tr>
    </w:tbl>
    <w:p>
      <w:pPr>
        <w:pStyle w:val="2"/>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2、技术评审</w:t>
      </w:r>
    </w:p>
    <w:tbl>
      <w:tblPr>
        <w:tblStyle w:val="11"/>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127"/>
        <w:gridCol w:w="5759"/>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5000" w:type="pct"/>
            <w:gridSpan w:val="4"/>
            <w:noWrap w:val="0"/>
            <w:vAlign w:val="center"/>
          </w:tcPr>
          <w:p>
            <w:pPr>
              <w:adjustRightInd w:val="0"/>
              <w:snapToGrid w:val="0"/>
              <w:spacing w:line="0" w:lineRule="atLeast"/>
              <w:jc w:val="center"/>
              <w:rPr>
                <w:rFonts w:hint="eastAsia" w:ascii="仿宋" w:hAnsi="仿宋" w:eastAsia="仿宋" w:cs="仿宋"/>
                <w:b/>
                <w:sz w:val="28"/>
                <w:szCs w:val="28"/>
              </w:rPr>
            </w:pPr>
            <w:r>
              <w:rPr>
                <w:rFonts w:hint="eastAsia" w:ascii="仿宋" w:hAnsi="仿宋" w:eastAsia="仿宋" w:cs="仿宋"/>
                <w:b/>
                <w:sz w:val="28"/>
                <w:szCs w:val="28"/>
              </w:rPr>
              <w:t>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 w:type="pct"/>
            <w:noWrap w:val="0"/>
            <w:vAlign w:val="center"/>
          </w:tcPr>
          <w:p>
            <w:pPr>
              <w:adjustRightInd w:val="0"/>
              <w:snapToGrid w:val="0"/>
              <w:spacing w:line="0" w:lineRule="atLeast"/>
              <w:ind w:left="0" w:leftChars="0" w:firstLine="0" w:firstLineChars="0"/>
              <w:jc w:val="both"/>
              <w:rPr>
                <w:rFonts w:hint="eastAsia" w:ascii="仿宋" w:hAnsi="仿宋" w:eastAsia="仿宋" w:cs="仿宋"/>
                <w:b/>
                <w:sz w:val="28"/>
                <w:szCs w:val="28"/>
              </w:rPr>
            </w:pPr>
            <w:r>
              <w:rPr>
                <w:rFonts w:hint="eastAsia" w:ascii="仿宋" w:hAnsi="仿宋" w:eastAsia="仿宋" w:cs="仿宋"/>
                <w:b/>
                <w:sz w:val="28"/>
                <w:szCs w:val="28"/>
              </w:rPr>
              <w:t>序号</w:t>
            </w:r>
          </w:p>
        </w:tc>
        <w:tc>
          <w:tcPr>
            <w:tcW w:w="679" w:type="pct"/>
            <w:noWrap w:val="0"/>
            <w:vAlign w:val="center"/>
          </w:tcPr>
          <w:p>
            <w:pPr>
              <w:adjustRightInd w:val="0"/>
              <w:snapToGrid w:val="0"/>
              <w:spacing w:line="0" w:lineRule="atLeast"/>
              <w:ind w:left="0" w:leftChars="0" w:firstLine="0" w:firstLineChars="0"/>
              <w:jc w:val="both"/>
              <w:rPr>
                <w:rFonts w:hint="eastAsia" w:ascii="仿宋" w:hAnsi="仿宋" w:eastAsia="仿宋" w:cs="仿宋"/>
                <w:b/>
                <w:sz w:val="28"/>
                <w:szCs w:val="28"/>
              </w:rPr>
            </w:pPr>
            <w:r>
              <w:rPr>
                <w:rFonts w:hint="eastAsia" w:ascii="仿宋" w:hAnsi="仿宋" w:eastAsia="仿宋" w:cs="仿宋"/>
                <w:b/>
                <w:sz w:val="28"/>
                <w:szCs w:val="28"/>
              </w:rPr>
              <w:t>指标</w:t>
            </w:r>
          </w:p>
        </w:tc>
        <w:tc>
          <w:tcPr>
            <w:tcW w:w="3470" w:type="pct"/>
            <w:noWrap w:val="0"/>
            <w:vAlign w:val="center"/>
          </w:tcPr>
          <w:p>
            <w:pPr>
              <w:adjustRightInd w:val="0"/>
              <w:snapToGrid w:val="0"/>
              <w:spacing w:line="0" w:lineRule="atLeas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指标描述</w:t>
            </w:r>
          </w:p>
        </w:tc>
        <w:tc>
          <w:tcPr>
            <w:tcW w:w="480" w:type="pct"/>
            <w:noWrap w:val="0"/>
            <w:vAlign w:val="center"/>
          </w:tcPr>
          <w:p>
            <w:pPr>
              <w:adjustRightInd w:val="0"/>
              <w:snapToGrid w:val="0"/>
              <w:spacing w:line="0" w:lineRule="atLeast"/>
              <w:ind w:left="0" w:leftChars="0" w:firstLine="0" w:firstLineChars="0"/>
              <w:jc w:val="both"/>
              <w:rPr>
                <w:rFonts w:hint="eastAsia" w:ascii="仿宋" w:hAnsi="仿宋" w:eastAsia="仿宋" w:cs="仿宋"/>
                <w:b/>
                <w:sz w:val="28"/>
                <w:szCs w:val="28"/>
              </w:rPr>
            </w:pPr>
            <w:r>
              <w:rPr>
                <w:rFonts w:hint="eastAsia" w:ascii="仿宋" w:hAnsi="仿宋" w:eastAsia="仿宋" w:cs="仿宋"/>
                <w:b/>
                <w:sz w:val="28"/>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b/>
                <w:sz w:val="28"/>
                <w:szCs w:val="28"/>
              </w:rPr>
            </w:pPr>
            <w:r>
              <w:rPr>
                <w:rFonts w:hint="eastAsia" w:ascii="仿宋" w:hAnsi="仿宋" w:eastAsia="仿宋" w:cs="仿宋"/>
                <w:b/>
                <w:sz w:val="28"/>
                <w:szCs w:val="28"/>
              </w:rPr>
              <w:t>1</w:t>
            </w:r>
          </w:p>
        </w:tc>
        <w:tc>
          <w:tcPr>
            <w:tcW w:w="679" w:type="pct"/>
            <w:noWrap w:val="0"/>
            <w:vAlign w:val="center"/>
          </w:tcPr>
          <w:p>
            <w:pPr>
              <w:spacing w:before="24" w:after="24"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项目认知</w:t>
            </w:r>
          </w:p>
        </w:tc>
        <w:tc>
          <w:tcPr>
            <w:tcW w:w="3470" w:type="pct"/>
            <w:noWrap w:val="0"/>
            <w:vAlign w:val="center"/>
          </w:tcPr>
          <w:p>
            <w:pPr>
              <w:widowControl/>
              <w:spacing w:line="360" w:lineRule="auto"/>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根据对本招标项目的要求和预期理解和认知方面进行比较评价。</w:t>
            </w:r>
          </w:p>
          <w:p>
            <w:pPr>
              <w:widowControl/>
              <w:spacing w:line="360" w:lineRule="auto"/>
              <w:ind w:left="0" w:leftChars="0" w:firstLine="0" w:firstLineChars="0"/>
              <w:jc w:val="left"/>
              <w:rPr>
                <w:rFonts w:hint="eastAsia" w:ascii="仿宋" w:hAnsi="仿宋" w:eastAsia="仿宋" w:cs="仿宋"/>
                <w:kern w:val="0"/>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2</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程序理解</w:t>
            </w:r>
          </w:p>
        </w:tc>
        <w:tc>
          <w:tcPr>
            <w:tcW w:w="3470" w:type="pct"/>
            <w:noWrap w:val="0"/>
            <w:vAlign w:val="center"/>
          </w:tcPr>
          <w:p>
            <w:pPr>
              <w:widowControl/>
              <w:spacing w:line="360" w:lineRule="auto"/>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对合肥市地方标准的立项以及制定程序的理解是否准确进行评价。</w:t>
            </w:r>
          </w:p>
          <w:p>
            <w:pPr>
              <w:widowControl/>
              <w:spacing w:line="360" w:lineRule="auto"/>
              <w:ind w:left="0" w:leftChars="0" w:firstLine="0" w:firstLineChars="0"/>
              <w:jc w:val="left"/>
              <w:rPr>
                <w:rFonts w:hint="eastAsia" w:ascii="仿宋" w:hAnsi="仿宋" w:eastAsia="仿宋" w:cs="仿宋"/>
                <w:kern w:val="0"/>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5"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b/>
                <w:sz w:val="28"/>
                <w:szCs w:val="28"/>
              </w:rPr>
            </w:pPr>
            <w:r>
              <w:rPr>
                <w:rFonts w:hint="eastAsia" w:ascii="仿宋" w:hAnsi="仿宋" w:eastAsia="仿宋" w:cs="仿宋"/>
                <w:b/>
                <w:sz w:val="28"/>
                <w:szCs w:val="28"/>
              </w:rPr>
              <w:t>3</w:t>
            </w:r>
          </w:p>
        </w:tc>
        <w:tc>
          <w:tcPr>
            <w:tcW w:w="679" w:type="pct"/>
            <w:noWrap w:val="0"/>
            <w:vAlign w:val="center"/>
          </w:tcPr>
          <w:p>
            <w:pPr>
              <w:spacing w:before="24" w:after="24"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技术方案</w:t>
            </w:r>
          </w:p>
        </w:tc>
        <w:tc>
          <w:tcPr>
            <w:tcW w:w="3470" w:type="pct"/>
            <w:noWrap w:val="0"/>
            <w:vAlign w:val="center"/>
          </w:tcPr>
          <w:p>
            <w:pPr>
              <w:spacing w:before="24" w:after="24" w:line="360" w:lineRule="auto"/>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本项目实施的技术路径及相关材料、对采购人配合的需求，是否切实可行、内容是否全面合理进行比较评价。</w:t>
            </w:r>
          </w:p>
          <w:p>
            <w:pPr>
              <w:spacing w:before="24" w:after="24"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4</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内容规范</w:t>
            </w:r>
          </w:p>
        </w:tc>
        <w:tc>
          <w:tcPr>
            <w:tcW w:w="3470" w:type="pct"/>
            <w:noWrap w:val="0"/>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为本项目提供的标准草案文本是否规范进行比较评价。</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5</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总体计划</w:t>
            </w:r>
          </w:p>
        </w:tc>
        <w:tc>
          <w:tcPr>
            <w:tcW w:w="3470" w:type="pct"/>
            <w:noWrap w:val="0"/>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对整体计划的安排是否全面进行比较评价。</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6</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分阶段安排</w:t>
            </w:r>
          </w:p>
        </w:tc>
        <w:tc>
          <w:tcPr>
            <w:tcW w:w="3470" w:type="pct"/>
            <w:noWrap w:val="0"/>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项目准备阶段控制、项目实施阶段控制、提交审查阶段控制、完成后期阶段控制等方面安排是否合理进行比较评价。</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7</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保障措施</w:t>
            </w:r>
          </w:p>
        </w:tc>
        <w:tc>
          <w:tcPr>
            <w:tcW w:w="3470" w:type="pct"/>
            <w:noWrap w:val="0"/>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对项目保障措施是否得当进行比较评价。</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7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8</w:t>
            </w:r>
          </w:p>
        </w:tc>
        <w:tc>
          <w:tcPr>
            <w:tcW w:w="679" w:type="pct"/>
            <w:noWrap w:val="0"/>
            <w:vAlign w:val="center"/>
          </w:tcPr>
          <w:p>
            <w:pPr>
              <w:spacing w:line="0" w:lineRule="atLeast"/>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其他增值服务</w:t>
            </w:r>
          </w:p>
        </w:tc>
        <w:tc>
          <w:tcPr>
            <w:tcW w:w="3470" w:type="pct"/>
            <w:noWrap w:val="0"/>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标准研制外的其他相关服务，如标准相关的免费培训指导等进行比较评价。</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b/>
                <w:sz w:val="28"/>
                <w:szCs w:val="28"/>
              </w:rPr>
              <w:t>优秀的，得8＜F≤10分，良好的，得5＜F≤8分，一般的，得1≤F≤5分。未提供的不得分。</w:t>
            </w: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71" w:type="pct"/>
            <w:noWrap w:val="0"/>
            <w:vAlign w:val="center"/>
          </w:tcPr>
          <w:p>
            <w:pPr>
              <w:spacing w:line="0" w:lineRule="atLeast"/>
              <w:jc w:val="center"/>
              <w:rPr>
                <w:rFonts w:hint="eastAsia" w:ascii="仿宋" w:hAnsi="仿宋" w:eastAsia="仿宋" w:cs="仿宋"/>
                <w:sz w:val="28"/>
                <w:szCs w:val="28"/>
              </w:rPr>
            </w:pPr>
          </w:p>
        </w:tc>
        <w:tc>
          <w:tcPr>
            <w:tcW w:w="679" w:type="pct"/>
            <w:noWrap w:val="0"/>
            <w:vAlign w:val="center"/>
          </w:tcPr>
          <w:p>
            <w:pPr>
              <w:spacing w:line="0" w:lineRule="atLeas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合计</w:t>
            </w:r>
          </w:p>
        </w:tc>
        <w:tc>
          <w:tcPr>
            <w:tcW w:w="3470" w:type="pct"/>
            <w:noWrap w:val="0"/>
            <w:vAlign w:val="center"/>
          </w:tcPr>
          <w:p>
            <w:pPr>
              <w:spacing w:line="0" w:lineRule="atLeast"/>
              <w:rPr>
                <w:rFonts w:hint="eastAsia" w:ascii="仿宋" w:hAnsi="仿宋" w:eastAsia="仿宋" w:cs="仿宋"/>
                <w:sz w:val="28"/>
                <w:szCs w:val="28"/>
              </w:rPr>
            </w:pPr>
          </w:p>
        </w:tc>
        <w:tc>
          <w:tcPr>
            <w:tcW w:w="480"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0</w:t>
            </w:r>
            <w:r>
              <w:rPr>
                <w:rFonts w:hint="eastAsia" w:ascii="仿宋" w:hAnsi="仿宋" w:eastAsia="仿宋" w:cs="仿宋"/>
                <w:sz w:val="28"/>
                <w:szCs w:val="28"/>
              </w:rPr>
              <w:t>分</w:t>
            </w:r>
          </w:p>
        </w:tc>
      </w:tr>
    </w:tbl>
    <w:p>
      <w:pPr>
        <w:pStyle w:val="2"/>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3、价格评审</w:t>
      </w:r>
    </w:p>
    <w:p>
      <w:pPr>
        <w:pStyle w:val="10"/>
        <w:ind w:left="0" w:leftChars="0" w:firstLine="750" w:firstLineChars="250"/>
        <w:rPr>
          <w:rFonts w:hint="eastAsia"/>
          <w:lang w:val="en-US" w:eastAsia="zh-CN"/>
        </w:rPr>
      </w:pPr>
      <w:r>
        <w:rPr>
          <w:rFonts w:hint="eastAsia"/>
          <w:lang w:val="en-US" w:eastAsia="zh-CN"/>
        </w:rPr>
        <w:t>依据通过初审的有效投标人名单，其投标人的价格部分得分按照以下方式计算：</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921"/>
        <w:gridCol w:w="569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2" w:type="pct"/>
            <w:noWrap w:val="0"/>
            <w:vAlign w:val="center"/>
          </w:tcPr>
          <w:p>
            <w:pPr>
              <w:spacing w:line="0" w:lineRule="atLeast"/>
              <w:ind w:left="0" w:leftChars="0" w:firstLine="0" w:firstLineChars="0"/>
              <w:rPr>
                <w:rFonts w:hint="eastAsia" w:ascii="仿宋" w:hAnsi="仿宋" w:eastAsia="仿宋" w:cs="仿宋"/>
                <w:b/>
                <w:sz w:val="28"/>
                <w:szCs w:val="28"/>
              </w:rPr>
            </w:pPr>
            <w:r>
              <w:rPr>
                <w:rFonts w:hint="eastAsia" w:ascii="仿宋" w:hAnsi="仿宋" w:eastAsia="仿宋" w:cs="仿宋"/>
                <w:b/>
                <w:sz w:val="28"/>
                <w:szCs w:val="28"/>
                <w:lang w:val="en-US" w:eastAsia="zh-CN"/>
              </w:rPr>
              <w:t>价格</w:t>
            </w:r>
            <w:r>
              <w:rPr>
                <w:rFonts w:hint="eastAsia" w:ascii="仿宋" w:hAnsi="仿宋" w:eastAsia="仿宋" w:cs="仿宋"/>
                <w:b/>
                <w:sz w:val="28"/>
                <w:szCs w:val="28"/>
              </w:rPr>
              <w:t>部分</w:t>
            </w:r>
          </w:p>
        </w:tc>
        <w:tc>
          <w:tcPr>
            <w:tcW w:w="541" w:type="pct"/>
            <w:noWrap w:val="0"/>
            <w:vAlign w:val="center"/>
          </w:tcPr>
          <w:p>
            <w:pPr>
              <w:spacing w:line="0" w:lineRule="atLeas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最终报价</w:t>
            </w:r>
          </w:p>
        </w:tc>
        <w:tc>
          <w:tcPr>
            <w:tcW w:w="3346" w:type="pct"/>
            <w:noWrap w:val="0"/>
            <w:vAlign w:val="center"/>
          </w:tcPr>
          <w:p>
            <w:pPr>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价格分统一采用有效最低价法，即满足询价文件要求且最终报价最低的投标报价为评标基准价，其价格分为满分。其他投标人的价格分统一按照下列公式计算：投标报价得分＝（评标基准价/最终报价）×20％×100</w:t>
            </w:r>
          </w:p>
        </w:tc>
        <w:tc>
          <w:tcPr>
            <w:tcW w:w="481" w:type="pct"/>
            <w:noWrap w:val="0"/>
            <w:vAlign w:val="center"/>
          </w:tcPr>
          <w:p>
            <w:pPr>
              <w:widowControl/>
              <w:spacing w:line="0" w:lineRule="atLeast"/>
              <w:ind w:left="0" w:leftChars="0" w:firstLine="0" w:firstLineChars="0"/>
              <w:jc w:val="both"/>
              <w:rPr>
                <w:rFonts w:hint="eastAsia" w:ascii="仿宋" w:hAnsi="仿宋" w:eastAsia="仿宋" w:cs="仿宋"/>
                <w:b/>
                <w:kern w:val="0"/>
                <w:sz w:val="28"/>
                <w:szCs w:val="28"/>
              </w:rPr>
            </w:pPr>
            <w:r>
              <w:rPr>
                <w:rFonts w:hint="eastAsia" w:ascii="仿宋" w:hAnsi="仿宋" w:eastAsia="仿宋" w:cs="仿宋"/>
                <w:b w:val="0"/>
                <w:bCs/>
                <w:kern w:val="0"/>
                <w:sz w:val="28"/>
                <w:szCs w:val="28"/>
                <w:u w:val="none"/>
              </w:rPr>
              <w:t>0-20分</w:t>
            </w:r>
          </w:p>
        </w:tc>
      </w:tr>
    </w:tbl>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成交结果将在确定结果的2个工作日内将成交通知书发给成交人，原件及扫描件均有效。</w:t>
      </w:r>
    </w:p>
    <w:p>
      <w:pPr>
        <w:pageBreakBefore w:val="0"/>
        <w:kinsoku/>
        <w:wordWrap/>
        <w:overflowPunct/>
        <w:topLinePunct w:val="0"/>
        <w:bidi w:val="0"/>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五、其他说明</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本项目报价要求服务商对系列标准负责到底，直到系列标准全部发布实施。同时响应服务商须确保服务质量，在服务中应当与采购人进行充分沟通，并按照合肥市市场监督管理局要求的标准制定期限完成工作。</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六、响应文件资料要求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1.提供有效的营业执照（或事业单位法人证书）的副本复印件并加盖公章。</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2.法定代表人授权委托书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4.无重大违法记录声明函、无不良信用记录声明函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5.业绩证明材料：全国标准信息公共服务平台（http://std.samr.gov.cn/）查询截图和平台下载的对应标准文本。</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6.系列标准的草案文件纸质版和电子版。</w:t>
      </w:r>
    </w:p>
    <w:p>
      <w:pPr>
        <w:spacing w:line="560" w:lineRule="exact"/>
        <w:ind w:firstLine="602"/>
        <w:rPr>
          <w:rFonts w:hint="eastAsia" w:ascii="仿宋" w:hAnsi="仿宋" w:eastAsia="仿宋" w:cs="仿宋"/>
          <w:b/>
          <w:bCs/>
          <w:sz w:val="30"/>
          <w:szCs w:val="30"/>
        </w:rPr>
      </w:pPr>
      <w:r>
        <w:rPr>
          <w:rFonts w:hint="eastAsia" w:ascii="仿宋" w:hAnsi="仿宋" w:eastAsia="仿宋" w:cs="仿宋"/>
          <w:b/>
          <w:bCs/>
          <w:sz w:val="30"/>
          <w:szCs w:val="30"/>
        </w:rPr>
        <w:t>上述材料须依次装订密封后在封口处加盖公章。</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七、响应文件格式</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1.法定代表人授权委托书</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兹委托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（全名和职务）代表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（供应商名称）参加贵单位组织的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采购活动，联系方式为：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iCs w:val="0"/>
          <w:sz w:val="32"/>
          <w:szCs w:val="32"/>
          <w:u w:val="none"/>
          <w:lang w:val="en-US" w:eastAsia="zh-CN"/>
        </w:rPr>
        <w:t>，</w:t>
      </w:r>
      <w:r>
        <w:rPr>
          <w:rFonts w:hint="eastAsia" w:ascii="仿宋_GB2312" w:hAnsi="仿宋_GB2312" w:eastAsia="仿宋_GB2312" w:cs="仿宋_GB2312"/>
          <w:sz w:val="32"/>
          <w:szCs w:val="32"/>
          <w:lang w:val="en-US" w:eastAsia="zh-CN"/>
        </w:rPr>
        <w:t>并以此授权其全权代表我方处理本次采购活动的一切事宜。被授权代表无权转让委托权。</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法定代表人签名：                委托代理人签名：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供应商（章）：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日      期  ：     年   月   日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附身份证复印件：</w:t>
      </w:r>
    </w:p>
    <w:p>
      <w:pPr>
        <w:keepNext w:val="0"/>
        <w:keepLines w:val="0"/>
        <w:pageBreakBefore w:val="0"/>
        <w:kinsoku/>
        <w:wordWrap/>
        <w:overflowPunct/>
        <w:topLinePunct w:val="0"/>
        <w:bidi w:val="0"/>
        <w:snapToGrid/>
        <w:spacing w:line="560" w:lineRule="exact"/>
        <w:textAlignment w:val="auto"/>
        <w:rPr>
          <w:rFonts w:hint="default"/>
          <w:lang w:val="en-US" w:eastAsia="zh-CN"/>
        </w:rPr>
      </w:pPr>
      <w:r>
        <w:rPr>
          <w:rFonts w:hint="default"/>
          <w:lang w:val="en-US" w:eastAsia="zh-CN"/>
        </w:rPr>
        <w:br w:type="page"/>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2.报价函</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421" w:type="dxa"/>
            <w:noWrap w:val="0"/>
            <w:vAlign w:val="center"/>
          </w:tcPr>
          <w:p>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rPr>
              <w:t>名称</w:t>
            </w:r>
          </w:p>
        </w:tc>
        <w:tc>
          <w:tcPr>
            <w:tcW w:w="6098"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21" w:type="dxa"/>
            <w:noWrap w:val="0"/>
            <w:vAlign w:val="center"/>
          </w:tcPr>
          <w:p>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总报价（元）</w:t>
            </w:r>
          </w:p>
        </w:tc>
        <w:tc>
          <w:tcPr>
            <w:tcW w:w="6098" w:type="dxa"/>
            <w:noWrap w:val="0"/>
            <w:vAlign w:val="center"/>
          </w:tcPr>
          <w:p>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元整</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519" w:type="dxa"/>
            <w:gridSpan w:val="2"/>
            <w:noWrap w:val="0"/>
            <w:vAlign w:val="top"/>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其他说明：</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tc>
      </w:tr>
    </w:tbl>
    <w:p>
      <w:pPr>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3.无重大违法记录声明函、无不良信用记录声明函</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郑重声明，根据《中华人民共和国政府采购法》及《中华人民共和国政府采购法实施条例》的规定，参加政府采购活动前三年内，</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在经营活动中没有重大违法记录，没有因违法经营受到刑事处罚或者责令停产停业、吊销许可证或者执照、较大数额罚款等行政处罚。</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 xml:space="preserve">郑重声明，符合下列情形之一： </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谈判日前两年内未被合肥市及其所辖县（市）公共资源交易监督管理局记不良行为记录或记不良行为记录累计未满10分的；</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最近一次被合肥市及其所辖县（市）公共资源交易监督管理局记不良行为记录累计记分达10分（含10分）到15分且公布日距谈判日超过6个月；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最近一次被合肥市及其所辖县（市）公共资源交易监督管理局记不良行为记录累计记分达15分（含15分）到20分且公布日距谈判日超过12个月；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最近一次被合肥市及其所辖县（市）公共资源交易监督管理局记不良行为记录累计记分达20分（含20分）及以上且公布日距谈判日超过24个月。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无以下不良信用记录情形：</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被人民法院列入失信被执行人；</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法定代表人或拟派项目经理（项目负责人）被人民检察院列入行贿犯罪档案；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被工商行政管理部门列入企业经营异常名录；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被税务部门列入重大税收违法案件当事人名单；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被政府采购监管部门列入政府采购严重违法失信行为记录名单。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已就上述不良信用行为按照谈判文件中供应商须知前附表规定进行了查询。承诺：合同签订前，若</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具有不良信用记录情形，贵方可取消</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成交资格或者不授予合同，所有责任由我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自行承担。同时，我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愿意无条件接受监管部门的调查处理。</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对上述声明的真实性负责。如有虚假，将依法承担相应责任。</w:t>
      </w:r>
    </w:p>
    <w:p>
      <w:pPr>
        <w:pStyle w:val="10"/>
        <w:rPr>
          <w:rFonts w:hint="eastAsi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                        日    期：                       </w:t>
      </w:r>
    </w:p>
    <w:p>
      <w:pPr>
        <w:pageBreakBefore w:val="0"/>
        <w:kinsoku/>
        <w:wordWrap/>
        <w:overflowPunct/>
        <w:topLinePunct w:val="0"/>
        <w:bidi w:val="0"/>
        <w:snapToGrid/>
        <w:spacing w:line="560" w:lineRule="exact"/>
        <w:textAlignment w:val="auto"/>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b/>
          <w:bCs/>
          <w:sz w:val="32"/>
          <w:szCs w:val="32"/>
          <w:lang w:val="en-US" w:eastAsia="zh-CN"/>
        </w:rPr>
        <w:t>八、联系方式及日期要求</w:t>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响应要求：请于2022年4月29日（星期五）12:</w:t>
      </w:r>
      <w:bookmarkStart w:id="0" w:name="_GoBack"/>
      <w:bookmarkEnd w:id="0"/>
      <w:r>
        <w:rPr>
          <w:rFonts w:hint="eastAsia" w:ascii="仿宋_GB2312" w:hAnsi="仿宋_GB2312" w:eastAsia="仿宋_GB2312" w:cs="仿宋_GB2312"/>
          <w:sz w:val="32"/>
          <w:szCs w:val="32"/>
          <w:lang w:val="en-US" w:eastAsia="zh-CN"/>
        </w:rPr>
        <w:t>00前将应标文件（一式一份）寄送至合肥市大数据资产运营有限公司。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地址：安徽省合肥市政务区置地广场C座4楼</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联系人：刘经理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联系方式：18013881837</w:t>
      </w:r>
    </w:p>
    <w:p>
      <w:pPr>
        <w:pStyle w:val="16"/>
        <w:keepNext w:val="0"/>
        <w:keepLines w:val="0"/>
        <w:pageBreakBefore w:val="0"/>
        <w:kinsoku/>
        <w:wordWrap/>
        <w:overflowPunct/>
        <w:topLinePunct w:val="0"/>
        <w:bidi w:val="0"/>
        <w:snapToGrid/>
        <w:spacing w:line="560" w:lineRule="exact"/>
        <w:textAlignment w:val="auto"/>
        <w:rPr>
          <w:rFonts w:hint="eastAsia"/>
          <w:lang w:val="en-US" w:eastAsia="zh-CN"/>
        </w:rPr>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pPr>
    </w:p>
    <w:p>
      <w:pPr>
        <w:pStyle w:val="16"/>
        <w:pageBreakBefore w:val="0"/>
        <w:kinsoku/>
        <w:wordWrap/>
        <w:overflowPunct/>
        <w:topLinePunct w:val="0"/>
        <w:bidi w:val="0"/>
        <w:snapToGrid/>
        <w:spacing w:line="560" w:lineRule="exact"/>
        <w:textAlignment w:val="auto"/>
        <w:rPr>
          <w:rFonts w:hint="eastAsia" w:eastAsia="仿宋_GB2312"/>
          <w:lang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47883"/>
    <w:multiLevelType w:val="singleLevel"/>
    <w:tmpl w:val="18647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jQyZDQ5ODUzOTUzMWMwNDYzMDJiYzU1MDlhYzIifQ=="/>
  </w:docVars>
  <w:rsids>
    <w:rsidRoot w:val="6FA21F90"/>
    <w:rsid w:val="003C0F7A"/>
    <w:rsid w:val="006127E4"/>
    <w:rsid w:val="01625B21"/>
    <w:rsid w:val="01D36F04"/>
    <w:rsid w:val="02306473"/>
    <w:rsid w:val="02D41F55"/>
    <w:rsid w:val="02F335F7"/>
    <w:rsid w:val="031D4A54"/>
    <w:rsid w:val="03A2514E"/>
    <w:rsid w:val="04880141"/>
    <w:rsid w:val="04D01CAC"/>
    <w:rsid w:val="06147E59"/>
    <w:rsid w:val="06596886"/>
    <w:rsid w:val="06A42F8B"/>
    <w:rsid w:val="0769097D"/>
    <w:rsid w:val="078B351C"/>
    <w:rsid w:val="0792034D"/>
    <w:rsid w:val="07BA271B"/>
    <w:rsid w:val="09C45B17"/>
    <w:rsid w:val="0A982E07"/>
    <w:rsid w:val="0B3525B2"/>
    <w:rsid w:val="0B41524D"/>
    <w:rsid w:val="0B550C9A"/>
    <w:rsid w:val="0BD1459C"/>
    <w:rsid w:val="0BD22555"/>
    <w:rsid w:val="0C090D27"/>
    <w:rsid w:val="0CF445AA"/>
    <w:rsid w:val="0D957BC0"/>
    <w:rsid w:val="0EEA5BFB"/>
    <w:rsid w:val="0EEE42FE"/>
    <w:rsid w:val="0EF34DE6"/>
    <w:rsid w:val="0F7B45D3"/>
    <w:rsid w:val="0F8075A3"/>
    <w:rsid w:val="0FF1131D"/>
    <w:rsid w:val="1189482F"/>
    <w:rsid w:val="12D51024"/>
    <w:rsid w:val="131D034D"/>
    <w:rsid w:val="13215A53"/>
    <w:rsid w:val="149B0AA2"/>
    <w:rsid w:val="14D34E5E"/>
    <w:rsid w:val="16B72867"/>
    <w:rsid w:val="16E82A20"/>
    <w:rsid w:val="1829415E"/>
    <w:rsid w:val="186A2BE4"/>
    <w:rsid w:val="189D31D2"/>
    <w:rsid w:val="18C357CA"/>
    <w:rsid w:val="190D7058"/>
    <w:rsid w:val="19434886"/>
    <w:rsid w:val="19C332D1"/>
    <w:rsid w:val="19F17EEE"/>
    <w:rsid w:val="1A7B0BFD"/>
    <w:rsid w:val="1B8D2C3F"/>
    <w:rsid w:val="1D2E27C0"/>
    <w:rsid w:val="1DD67A76"/>
    <w:rsid w:val="1E0209F3"/>
    <w:rsid w:val="1E2C1486"/>
    <w:rsid w:val="1E9E1B6C"/>
    <w:rsid w:val="2118362D"/>
    <w:rsid w:val="21740AB9"/>
    <w:rsid w:val="219F723C"/>
    <w:rsid w:val="22845C3B"/>
    <w:rsid w:val="22A97F62"/>
    <w:rsid w:val="236A04D7"/>
    <w:rsid w:val="23F909F3"/>
    <w:rsid w:val="23F92711"/>
    <w:rsid w:val="24E856B7"/>
    <w:rsid w:val="25457290"/>
    <w:rsid w:val="257277D5"/>
    <w:rsid w:val="25BF7042"/>
    <w:rsid w:val="26404750"/>
    <w:rsid w:val="27037C7C"/>
    <w:rsid w:val="279464A3"/>
    <w:rsid w:val="28BE5CD7"/>
    <w:rsid w:val="291D29FD"/>
    <w:rsid w:val="292934D5"/>
    <w:rsid w:val="298567F4"/>
    <w:rsid w:val="29B50A33"/>
    <w:rsid w:val="2A1A0E65"/>
    <w:rsid w:val="2A8C09FD"/>
    <w:rsid w:val="2A950CB9"/>
    <w:rsid w:val="2B3B716B"/>
    <w:rsid w:val="2B5C25DD"/>
    <w:rsid w:val="2B8878D2"/>
    <w:rsid w:val="2BA54F2C"/>
    <w:rsid w:val="2BB57B17"/>
    <w:rsid w:val="2D377E06"/>
    <w:rsid w:val="2E3C1B78"/>
    <w:rsid w:val="2F836C4E"/>
    <w:rsid w:val="2F8C268B"/>
    <w:rsid w:val="2F9C553A"/>
    <w:rsid w:val="308718C4"/>
    <w:rsid w:val="30CB3914"/>
    <w:rsid w:val="313C5A67"/>
    <w:rsid w:val="314E11EA"/>
    <w:rsid w:val="31C12421"/>
    <w:rsid w:val="32EF3086"/>
    <w:rsid w:val="3361798A"/>
    <w:rsid w:val="3402116D"/>
    <w:rsid w:val="345A2AA8"/>
    <w:rsid w:val="349F56ED"/>
    <w:rsid w:val="34C208FD"/>
    <w:rsid w:val="34C4041F"/>
    <w:rsid w:val="34F0256F"/>
    <w:rsid w:val="35380BBF"/>
    <w:rsid w:val="35BC17F0"/>
    <w:rsid w:val="35C12962"/>
    <w:rsid w:val="35F37B34"/>
    <w:rsid w:val="36797273"/>
    <w:rsid w:val="370756A6"/>
    <w:rsid w:val="373430D5"/>
    <w:rsid w:val="37575A62"/>
    <w:rsid w:val="37696F31"/>
    <w:rsid w:val="37AF15A5"/>
    <w:rsid w:val="37C438E9"/>
    <w:rsid w:val="383B2EA0"/>
    <w:rsid w:val="38780B4F"/>
    <w:rsid w:val="388A1731"/>
    <w:rsid w:val="397D1296"/>
    <w:rsid w:val="399D5494"/>
    <w:rsid w:val="3A09250A"/>
    <w:rsid w:val="3A282FB0"/>
    <w:rsid w:val="3AA67191"/>
    <w:rsid w:val="3B1D1F32"/>
    <w:rsid w:val="3B450930"/>
    <w:rsid w:val="3C7B3BC8"/>
    <w:rsid w:val="3CCD1DFB"/>
    <w:rsid w:val="3CD038CA"/>
    <w:rsid w:val="3E374CB3"/>
    <w:rsid w:val="3E72125F"/>
    <w:rsid w:val="3F0173D1"/>
    <w:rsid w:val="3F035D9A"/>
    <w:rsid w:val="3F695BF8"/>
    <w:rsid w:val="3F834A4F"/>
    <w:rsid w:val="3F8A64BB"/>
    <w:rsid w:val="417C7460"/>
    <w:rsid w:val="4292190E"/>
    <w:rsid w:val="43040332"/>
    <w:rsid w:val="43140575"/>
    <w:rsid w:val="432D5ADB"/>
    <w:rsid w:val="43BD416B"/>
    <w:rsid w:val="449C513C"/>
    <w:rsid w:val="45CA13BF"/>
    <w:rsid w:val="45D851B9"/>
    <w:rsid w:val="4618037D"/>
    <w:rsid w:val="477E06B3"/>
    <w:rsid w:val="47DD7AD0"/>
    <w:rsid w:val="48132EEF"/>
    <w:rsid w:val="48873801"/>
    <w:rsid w:val="48A405ED"/>
    <w:rsid w:val="48BA67FF"/>
    <w:rsid w:val="48EA3B26"/>
    <w:rsid w:val="49F41101"/>
    <w:rsid w:val="4A7F6DF7"/>
    <w:rsid w:val="4BE50B09"/>
    <w:rsid w:val="4C8F03D9"/>
    <w:rsid w:val="4CBA10D1"/>
    <w:rsid w:val="4E7A0FDB"/>
    <w:rsid w:val="510A120A"/>
    <w:rsid w:val="514A5AAA"/>
    <w:rsid w:val="521B639E"/>
    <w:rsid w:val="52B34714"/>
    <w:rsid w:val="52F92CE3"/>
    <w:rsid w:val="53171558"/>
    <w:rsid w:val="537A6681"/>
    <w:rsid w:val="53890B0C"/>
    <w:rsid w:val="540314DD"/>
    <w:rsid w:val="540B32CF"/>
    <w:rsid w:val="5593048D"/>
    <w:rsid w:val="55BD6885"/>
    <w:rsid w:val="5651697C"/>
    <w:rsid w:val="56B66E89"/>
    <w:rsid w:val="56EF5ACC"/>
    <w:rsid w:val="56FC2FD4"/>
    <w:rsid w:val="57105422"/>
    <w:rsid w:val="57157F27"/>
    <w:rsid w:val="57EB4D2C"/>
    <w:rsid w:val="58013FFA"/>
    <w:rsid w:val="58B37C11"/>
    <w:rsid w:val="58E52F51"/>
    <w:rsid w:val="59405C34"/>
    <w:rsid w:val="59762F6D"/>
    <w:rsid w:val="59F652AC"/>
    <w:rsid w:val="5A963B0E"/>
    <w:rsid w:val="5B5D236F"/>
    <w:rsid w:val="5B746780"/>
    <w:rsid w:val="5BC833A3"/>
    <w:rsid w:val="5D7C4FD4"/>
    <w:rsid w:val="5DBC388C"/>
    <w:rsid w:val="604C6E06"/>
    <w:rsid w:val="614147D4"/>
    <w:rsid w:val="61DE64C6"/>
    <w:rsid w:val="62117115"/>
    <w:rsid w:val="62175534"/>
    <w:rsid w:val="622F2511"/>
    <w:rsid w:val="625E3163"/>
    <w:rsid w:val="632E2B36"/>
    <w:rsid w:val="63ED0C43"/>
    <w:rsid w:val="640252A5"/>
    <w:rsid w:val="6412671C"/>
    <w:rsid w:val="64F1206D"/>
    <w:rsid w:val="65011CE3"/>
    <w:rsid w:val="65E76FEB"/>
    <w:rsid w:val="66056182"/>
    <w:rsid w:val="67DF6AF4"/>
    <w:rsid w:val="67EE6D37"/>
    <w:rsid w:val="6868654D"/>
    <w:rsid w:val="6AE64E47"/>
    <w:rsid w:val="6B8533ED"/>
    <w:rsid w:val="6B8941D5"/>
    <w:rsid w:val="6BD334AD"/>
    <w:rsid w:val="6CD75492"/>
    <w:rsid w:val="6DEA3023"/>
    <w:rsid w:val="6F3550DE"/>
    <w:rsid w:val="6F51652A"/>
    <w:rsid w:val="6FA21F90"/>
    <w:rsid w:val="6FD56F74"/>
    <w:rsid w:val="6FDE56CA"/>
    <w:rsid w:val="6FF07EB7"/>
    <w:rsid w:val="702B0C4B"/>
    <w:rsid w:val="70895FFE"/>
    <w:rsid w:val="71DF0213"/>
    <w:rsid w:val="72192F0B"/>
    <w:rsid w:val="722672AB"/>
    <w:rsid w:val="723433DE"/>
    <w:rsid w:val="73470DDD"/>
    <w:rsid w:val="73577F88"/>
    <w:rsid w:val="74023322"/>
    <w:rsid w:val="741B07F0"/>
    <w:rsid w:val="74253AE1"/>
    <w:rsid w:val="77613082"/>
    <w:rsid w:val="77DB696C"/>
    <w:rsid w:val="77ED2B68"/>
    <w:rsid w:val="7924080B"/>
    <w:rsid w:val="79832FE3"/>
    <w:rsid w:val="79974CA5"/>
    <w:rsid w:val="7BB265A2"/>
    <w:rsid w:val="7BD36518"/>
    <w:rsid w:val="7C5A4544"/>
    <w:rsid w:val="7D4476CE"/>
    <w:rsid w:val="7D6F2271"/>
    <w:rsid w:val="7DB17231"/>
    <w:rsid w:val="7E274A3E"/>
    <w:rsid w:val="7E874DE4"/>
    <w:rsid w:val="7F427E19"/>
    <w:rsid w:val="7FAD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ascii="Cambria" w:hAnsi="Cambria" w:eastAsia="宋体" w:cs="Times New Roman"/>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0"/>
      <w:ind w:leftChars="0" w:firstLine="420" w:firstLineChars="200"/>
    </w:pPr>
    <w:rPr>
      <w:rFonts w:ascii="仿宋_GB2312" w:eastAsia="仿宋_GB2312"/>
      <w:sz w:val="3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ext"/>
    <w:basedOn w:val="1"/>
    <w:qFormat/>
    <w:uiPriority w:val="0"/>
    <w:pPr>
      <w:ind w:left="1021"/>
    </w:pPr>
    <w:rPr>
      <w:rFonts w:ascii="Calibri" w:hAnsi="Calibri"/>
    </w:rPr>
  </w:style>
  <w:style w:type="paragraph" w:customStyle="1" w:styleId="15">
    <w:name w:val="首行缩进"/>
    <w:basedOn w:val="1"/>
    <w:unhideWhenUsed/>
    <w:qFormat/>
    <w:uiPriority w:val="0"/>
    <w:pPr>
      <w:ind w:firstLine="480" w:firstLineChars="200"/>
    </w:pPr>
    <w:rPr>
      <w:kern w:val="0"/>
      <w:szCs w:val="20"/>
      <w:lang w:val="zh-CN"/>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D&amp;L"/>
    <w:basedOn w:val="8"/>
    <w:qFormat/>
    <w:uiPriority w:val="0"/>
    <w:pPr>
      <w:pBdr>
        <w:bottom w:val="thinThickSmallGap" w:color="auto" w:sz="18" w:space="1"/>
      </w:pBdr>
      <w:adjustRightInd w:val="0"/>
      <w:snapToGrid/>
      <w:spacing w:line="240" w:lineRule="atLeast"/>
      <w:ind w:firstLine="0" w:firstLineChars="0"/>
      <w:textAlignment w:val="baseline"/>
    </w:pPr>
    <w:rPr>
      <w:rFonts w:ascii="Times New Roman" w:hAnsi="Times New Roman" w:eastAsia="宋体" w:cs="Times New Roman"/>
      <w:kern w:val="0"/>
      <w:sz w:val="24"/>
      <w:szCs w:val="20"/>
    </w:rPr>
  </w:style>
  <w:style w:type="paragraph" w:customStyle="1" w:styleId="18">
    <w:name w:val="a3"/>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4914</Words>
  <Characters>5049</Characters>
  <Lines>0</Lines>
  <Paragraphs>0</Paragraphs>
  <TotalTime>117</TotalTime>
  <ScaleCrop>false</ScaleCrop>
  <LinksUpToDate>false</LinksUpToDate>
  <CharactersWithSpaces>5269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2021-10-29T07:45:00Z</dcterms:created>
  <dc:creator>admin</dc:creator>
  <cp:lastModifiedBy>will</cp:lastModifiedBy>
  <cp:lastPrinted>2021-12-17T07:28:00Z</cp:lastPrinted>
  <dcterms:modified xsi:type="dcterms:W3CDTF">2022-04-27T01:12:14Z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B0DBEDB0D63941B89D50BACF1B8109ED</vt:lpwstr>
  </property>
</Properties>
</file>