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eastAsia="方正小标宋简体" w:hAnsiTheme="minorHAnsi" w:cstheme="minorBidi"/>
          <w:sz w:val="44"/>
          <w:szCs w:val="44"/>
          <w:lang w:val="en-US" w:eastAsia="zh-CN"/>
        </w:rPr>
      </w:pPr>
      <w:r>
        <w:rPr>
          <w:rFonts w:hint="eastAsia" w:ascii="方正小标宋简体" w:eastAsia="方正小标宋简体" w:hAnsiTheme="minorHAnsi" w:cstheme="minorBidi"/>
          <w:sz w:val="44"/>
          <w:szCs w:val="44"/>
        </w:rPr>
        <w:t>智慧平安</w:t>
      </w:r>
      <w:r>
        <w:rPr>
          <w:rFonts w:hint="eastAsia" w:ascii="方正小标宋简体" w:eastAsia="方正小标宋简体" w:hAnsiTheme="minorHAnsi" w:cstheme="minorBidi"/>
          <w:sz w:val="44"/>
          <w:szCs w:val="44"/>
          <w:lang w:val="en-US" w:eastAsia="zh-CN"/>
        </w:rPr>
        <w:t>小区</w:t>
      </w:r>
      <w:r>
        <w:rPr>
          <w:rFonts w:hint="eastAsia" w:ascii="方正小标宋简体" w:eastAsia="方正小标宋简体" w:hAnsiTheme="minorHAnsi" w:cstheme="minorBidi"/>
          <w:sz w:val="44"/>
          <w:szCs w:val="44"/>
        </w:rPr>
        <w:t>数据管理平台信息系统安全等级保护测评服务</w:t>
      </w:r>
      <w:r>
        <w:rPr>
          <w:rFonts w:hint="eastAsia" w:ascii="方正小标宋简体" w:eastAsia="方正小标宋简体" w:hAnsiTheme="minorHAnsi" w:cstheme="minorBidi"/>
          <w:sz w:val="44"/>
          <w:szCs w:val="44"/>
          <w:lang w:val="en-US" w:eastAsia="zh-CN"/>
        </w:rPr>
        <w:t>询价函</w:t>
      </w:r>
    </w:p>
    <w:p>
      <w:pPr>
        <w:pStyle w:val="2"/>
        <w:rPr>
          <w:rFonts w:hint="eastAsia" w:ascii="黑体" w:hAnsi="黑体" w:eastAsia="黑体" w:cs="方正小标宋简体"/>
          <w:sz w:val="32"/>
          <w:szCs w:val="44"/>
        </w:rPr>
      </w:pPr>
    </w:p>
    <w:p>
      <w:pPr>
        <w:pStyle w:val="41"/>
        <w:numPr>
          <w:ilvl w:val="0"/>
          <w:numId w:val="2"/>
        </w:numPr>
        <w:ind w:firstLineChars="0"/>
        <w:rPr>
          <w:rFonts w:ascii="黑体" w:hAnsi="黑体" w:eastAsia="黑体"/>
          <w:color w:val="000000"/>
          <w:sz w:val="32"/>
          <w:szCs w:val="32"/>
        </w:rPr>
      </w:pPr>
      <w:r>
        <w:rPr>
          <w:rFonts w:ascii="黑体" w:hAnsi="黑体" w:eastAsia="黑体"/>
          <w:color w:val="000000"/>
          <w:sz w:val="32"/>
          <w:szCs w:val="32"/>
        </w:rPr>
        <w:t>项目简介</w:t>
      </w:r>
    </w:p>
    <w:p>
      <w:pPr>
        <w:ind w:firstLine="640"/>
        <w:rPr>
          <w:rFonts w:hint="eastAsia" w:ascii="仿宋_GB2312" w:eastAsia="仿宋_GB2312"/>
          <w:sz w:val="32"/>
          <w:szCs w:val="32"/>
          <w:lang w:eastAsia="zh-CN"/>
        </w:rPr>
      </w:pPr>
      <w:r>
        <w:rPr>
          <w:rFonts w:hint="eastAsia" w:ascii="仿宋_GB2312" w:eastAsia="仿宋_GB2312"/>
          <w:sz w:val="32"/>
          <w:szCs w:val="32"/>
          <w:lang w:val="en-US" w:eastAsia="zh-CN"/>
        </w:rPr>
        <w:t>智慧平安小区</w:t>
      </w:r>
      <w:r>
        <w:rPr>
          <w:rFonts w:hint="eastAsia" w:ascii="仿宋_GB2312" w:eastAsia="仿宋_GB2312"/>
          <w:sz w:val="32"/>
          <w:szCs w:val="32"/>
        </w:rPr>
        <w:t>数据管理平台，</w:t>
      </w:r>
      <w:r>
        <w:rPr>
          <w:rFonts w:hint="eastAsia" w:ascii="仿宋_GB2312" w:eastAsia="仿宋_GB2312"/>
          <w:sz w:val="32"/>
          <w:szCs w:val="32"/>
          <w:lang w:val="en-US" w:eastAsia="zh-CN"/>
        </w:rPr>
        <w:t>包括</w:t>
      </w:r>
      <w:r>
        <w:rPr>
          <w:rFonts w:hint="eastAsia" w:ascii="仿宋_GB2312" w:eastAsia="仿宋_GB2312"/>
          <w:sz w:val="32"/>
          <w:szCs w:val="32"/>
        </w:rPr>
        <w:t>居民移动端应用、物业采集端、承建商管理端、运营管理端、统一门户、数据可视化大屏共六个部分</w:t>
      </w:r>
      <w:r>
        <w:rPr>
          <w:rFonts w:hint="eastAsia" w:ascii="仿宋_GB2312" w:eastAsia="仿宋_GB2312"/>
          <w:sz w:val="32"/>
          <w:szCs w:val="32"/>
          <w:lang w:eastAsia="zh-CN"/>
        </w:rPr>
        <w:t>，</w:t>
      </w:r>
      <w:r>
        <w:rPr>
          <w:rFonts w:hint="eastAsia" w:ascii="仿宋_GB2312" w:eastAsia="仿宋_GB2312"/>
          <w:sz w:val="32"/>
          <w:szCs w:val="32"/>
          <w:lang w:val="en-US" w:eastAsia="zh-CN"/>
        </w:rPr>
        <w:t>部署于政务云环境</w:t>
      </w:r>
      <w:r>
        <w:rPr>
          <w:rFonts w:hint="eastAsia" w:ascii="仿宋_GB2312" w:eastAsia="仿宋_GB2312"/>
          <w:sz w:val="32"/>
          <w:szCs w:val="32"/>
        </w:rPr>
        <w:t>。居民可通过合肥通APP、合肥通社区大脑公众号录入“人房车”信息。物业管理端、承建商管理端、运营管理端三个后台主要实现项目信息维护，人房车基础信息审核，数据及接口申请，用户及角色权限管理等功能。统一门户作为对外展示平台，实现政策文件及时传达、公告通知便捷推送、技术及模板文档发布、承建商账号注册等功能。数据可视化大屏对小区、房屋、人员、车辆等静态数据和实时数据进行分析和展示</w:t>
      </w:r>
      <w:r>
        <w:rPr>
          <w:rFonts w:hint="eastAsia" w:ascii="仿宋_GB2312" w:eastAsia="仿宋_GB2312"/>
          <w:sz w:val="32"/>
          <w:szCs w:val="32"/>
          <w:lang w:eastAsia="zh-CN"/>
        </w:rPr>
        <w:t>。</w:t>
      </w:r>
    </w:p>
    <w:p>
      <w:pPr>
        <w:pStyle w:val="41"/>
        <w:numPr>
          <w:ilvl w:val="0"/>
          <w:numId w:val="2"/>
        </w:numPr>
        <w:ind w:firstLineChars="0"/>
        <w:rPr>
          <w:rFonts w:ascii="黑体" w:hAnsi="黑体" w:eastAsia="黑体"/>
          <w:sz w:val="32"/>
          <w:szCs w:val="32"/>
        </w:rPr>
      </w:pPr>
      <w:r>
        <w:rPr>
          <w:rFonts w:hint="eastAsia" w:ascii="黑体" w:hAnsi="黑体" w:eastAsia="黑体"/>
          <w:sz w:val="32"/>
          <w:szCs w:val="32"/>
        </w:rPr>
        <w:t>服务需求</w:t>
      </w:r>
    </w:p>
    <w:p>
      <w:pPr>
        <w:ind w:firstLine="640"/>
        <w:rPr>
          <w:rFonts w:hint="eastAsia" w:ascii="仿宋_GB2312" w:eastAsia="仿宋_GB2312"/>
          <w:sz w:val="32"/>
          <w:szCs w:val="32"/>
        </w:rPr>
      </w:pPr>
      <w:r>
        <w:rPr>
          <w:rFonts w:hint="eastAsia" w:ascii="仿宋_GB2312" w:eastAsia="仿宋_GB2312"/>
          <w:sz w:val="32"/>
          <w:szCs w:val="32"/>
        </w:rPr>
        <w:t>以《信息安全技术 网络安全等级保护测评要求》(GB/T 28448-2019)为基础，实施本次安全测评工作。安全测评范围包括被测系统相关的网络设备、安全设备、服务器设备等；测评内容涵盖安全物理环境、安全通信网络、安全区域边界、安全计算环境、安全管理中心以及信息安全管理等方面。测评完成后针对系统中存在的安全问题进行风险分析，提出整改意见，并最终形成安全等级测评报告。</w:t>
      </w:r>
    </w:p>
    <w:p>
      <w:pPr>
        <w:ind w:firstLine="640"/>
        <w:rPr>
          <w:rFonts w:hint="eastAsia" w:ascii="仿宋_GB2312" w:eastAsia="仿宋_GB2312"/>
          <w:sz w:val="32"/>
          <w:szCs w:val="32"/>
        </w:rPr>
      </w:pPr>
      <w:r>
        <w:rPr>
          <w:rFonts w:hint="eastAsia" w:ascii="仿宋_GB2312" w:eastAsia="仿宋_GB2312"/>
          <w:sz w:val="32"/>
          <w:szCs w:val="32"/>
        </w:rPr>
        <w:t>依据《信息安全技术 网络安全等级保护基本要求》(GB/T 22239-2019)和《信息安全技术 网络安全等级保护测评要求》(GB/T 28448-2019)，以及《信息安全技术 网络安全等级保护定级指南》(GB/T 22240-2020)为基础，对各信息系统进行的定级备案提供咨询、指导，并完成各信息系统的等级保护测评，内容包括：</w:t>
      </w:r>
    </w:p>
    <w:p>
      <w:pPr>
        <w:ind w:firstLine="640"/>
        <w:rPr>
          <w:rFonts w:hint="eastAsia" w:ascii="仿宋_GB2312" w:eastAsia="仿宋_GB2312"/>
          <w:sz w:val="32"/>
          <w:szCs w:val="32"/>
        </w:rPr>
      </w:pPr>
      <w:r>
        <w:rPr>
          <w:rFonts w:hint="eastAsia" w:ascii="仿宋_GB2312" w:eastAsia="仿宋_GB2312"/>
          <w:b/>
          <w:bCs/>
          <w:sz w:val="32"/>
          <w:szCs w:val="32"/>
        </w:rPr>
        <w:t>1</w:t>
      </w:r>
      <w:r>
        <w:rPr>
          <w:rFonts w:hint="eastAsia" w:ascii="仿宋_GB2312" w:eastAsia="仿宋_GB2312"/>
          <w:b/>
          <w:bCs/>
          <w:sz w:val="32"/>
          <w:szCs w:val="32"/>
          <w:lang w:val="en-US" w:eastAsia="zh-CN"/>
        </w:rPr>
        <w:t>.</w:t>
      </w:r>
      <w:r>
        <w:rPr>
          <w:rFonts w:hint="eastAsia" w:ascii="仿宋_GB2312" w:eastAsia="仿宋_GB2312"/>
          <w:b/>
          <w:bCs/>
          <w:sz w:val="32"/>
          <w:szCs w:val="32"/>
        </w:rPr>
        <w:t>定级备案咨询、指导</w:t>
      </w:r>
      <w:r>
        <w:rPr>
          <w:rFonts w:hint="eastAsia" w:ascii="仿宋_GB2312" w:eastAsia="仿宋_GB2312"/>
          <w:sz w:val="32"/>
          <w:szCs w:val="32"/>
        </w:rPr>
        <w:t>：对各信息系统的定级、备案以及材料准备等工作提供培训、咨询和指导，协助招标方完成系统定级备案工作。</w:t>
      </w:r>
    </w:p>
    <w:p>
      <w:pPr>
        <w:ind w:firstLine="640"/>
        <w:rPr>
          <w:rFonts w:hint="eastAsia" w:ascii="仿宋_GB2312" w:eastAsia="仿宋_GB2312"/>
          <w:sz w:val="32"/>
          <w:szCs w:val="32"/>
        </w:rPr>
      </w:pPr>
      <w:r>
        <w:rPr>
          <w:rFonts w:hint="eastAsia" w:ascii="仿宋_GB2312" w:eastAsia="仿宋_GB2312" w:cs="Times New Roman"/>
          <w:b/>
          <w:bCs/>
          <w:sz w:val="32"/>
          <w:szCs w:val="32"/>
        </w:rPr>
        <w:t>2</w:t>
      </w:r>
      <w:r>
        <w:rPr>
          <w:rFonts w:hint="eastAsia" w:ascii="仿宋_GB2312" w:eastAsia="仿宋_GB2312" w:cs="Times New Roman"/>
          <w:b/>
          <w:bCs/>
          <w:sz w:val="32"/>
          <w:szCs w:val="32"/>
          <w:lang w:val="en-US" w:eastAsia="zh-CN"/>
        </w:rPr>
        <w:t>.</w:t>
      </w:r>
      <w:r>
        <w:rPr>
          <w:rFonts w:hint="eastAsia" w:ascii="仿宋_GB2312" w:eastAsia="仿宋_GB2312" w:cs="Times New Roman"/>
          <w:b/>
          <w:bCs/>
          <w:sz w:val="32"/>
          <w:szCs w:val="32"/>
        </w:rPr>
        <w:t>安全技术测评：</w:t>
      </w:r>
      <w:r>
        <w:rPr>
          <w:rFonts w:hint="eastAsia" w:ascii="仿宋_GB2312" w:eastAsia="仿宋_GB2312"/>
          <w:sz w:val="32"/>
          <w:szCs w:val="32"/>
        </w:rPr>
        <w:t>包括安全物理环境、安全通信网络、安全区域边界、安全计算环境、安全管理中心五个方面的安全测评。</w:t>
      </w:r>
    </w:p>
    <w:p>
      <w:pPr>
        <w:ind w:firstLine="640"/>
        <w:rPr>
          <w:rFonts w:hint="eastAsia" w:ascii="仿宋_GB2312" w:eastAsia="仿宋_GB2312"/>
          <w:sz w:val="32"/>
          <w:szCs w:val="32"/>
        </w:rPr>
      </w:pPr>
      <w:r>
        <w:rPr>
          <w:rFonts w:hint="eastAsia" w:ascii="仿宋_GB2312" w:eastAsia="仿宋_GB2312" w:cs="Times New Roman"/>
          <w:b/>
          <w:bCs/>
          <w:sz w:val="32"/>
          <w:szCs w:val="32"/>
        </w:rPr>
        <w:t>3</w:t>
      </w:r>
      <w:r>
        <w:rPr>
          <w:rFonts w:hint="eastAsia" w:ascii="仿宋_GB2312" w:eastAsia="仿宋_GB2312" w:cs="Times New Roman"/>
          <w:b/>
          <w:bCs/>
          <w:sz w:val="32"/>
          <w:szCs w:val="32"/>
          <w:lang w:eastAsia="zh-CN"/>
        </w:rPr>
        <w:t>.</w:t>
      </w:r>
      <w:r>
        <w:rPr>
          <w:rFonts w:hint="eastAsia" w:ascii="仿宋_GB2312" w:eastAsia="仿宋_GB2312" w:cs="Times New Roman"/>
          <w:b/>
          <w:bCs/>
          <w:sz w:val="32"/>
          <w:szCs w:val="32"/>
        </w:rPr>
        <w:t>安全管理测评：</w:t>
      </w:r>
      <w:r>
        <w:rPr>
          <w:rFonts w:hint="eastAsia" w:ascii="仿宋_GB2312" w:eastAsia="仿宋_GB2312"/>
          <w:sz w:val="32"/>
          <w:szCs w:val="32"/>
        </w:rPr>
        <w:t>包括安全管理制度、安全管理机构、安全人员管理、安全建设管理和安全运维管理五个方面的安全测评。</w:t>
      </w:r>
    </w:p>
    <w:p>
      <w:pPr>
        <w:ind w:firstLine="640"/>
        <w:rPr>
          <w:rFonts w:hint="eastAsia" w:ascii="仿宋_GB2312" w:eastAsia="仿宋_GB2312"/>
          <w:sz w:val="32"/>
          <w:szCs w:val="32"/>
        </w:rPr>
      </w:pPr>
      <w:r>
        <w:rPr>
          <w:rFonts w:hint="eastAsia" w:ascii="仿宋_GB2312" w:eastAsia="仿宋_GB2312" w:cs="Times New Roman"/>
          <w:b/>
          <w:bCs/>
          <w:sz w:val="32"/>
          <w:szCs w:val="32"/>
        </w:rPr>
        <w:t>4</w:t>
      </w:r>
      <w:r>
        <w:rPr>
          <w:rFonts w:hint="eastAsia" w:ascii="仿宋_GB2312" w:eastAsia="仿宋_GB2312" w:cs="Times New Roman"/>
          <w:b/>
          <w:bCs/>
          <w:sz w:val="32"/>
          <w:szCs w:val="32"/>
          <w:lang w:eastAsia="zh-CN"/>
        </w:rPr>
        <w:t>.</w:t>
      </w:r>
      <w:r>
        <w:rPr>
          <w:rFonts w:hint="eastAsia" w:ascii="仿宋_GB2312" w:eastAsia="仿宋_GB2312" w:cs="Times New Roman"/>
          <w:b/>
          <w:bCs/>
          <w:sz w:val="32"/>
          <w:szCs w:val="32"/>
        </w:rPr>
        <w:t>提出安全整改建议：</w:t>
      </w:r>
      <w:r>
        <w:rPr>
          <w:rFonts w:hint="eastAsia" w:ascii="仿宋_GB2312" w:eastAsia="仿宋_GB2312"/>
          <w:sz w:val="32"/>
          <w:szCs w:val="32"/>
        </w:rPr>
        <w:t>全面的从安全物理环境、安全通信网络、安全区域边界、安全计算环境、安全管理中心、安全管理制度、安全管理机构、安全人员管理、安全建设管理和安全运维管理中的所有指标逐项对信息系统中相关的资产进行核查、测评。对信息系统进行安全现状分析，形成相应的安全问题列表和整改建议。</w:t>
      </w:r>
    </w:p>
    <w:p>
      <w:pPr>
        <w:ind w:firstLine="640"/>
        <w:rPr>
          <w:rFonts w:hint="eastAsia" w:ascii="仿宋_GB2312" w:eastAsia="仿宋_GB2312"/>
          <w:sz w:val="32"/>
          <w:szCs w:val="32"/>
        </w:rPr>
      </w:pPr>
      <w:r>
        <w:rPr>
          <w:rFonts w:hint="eastAsia" w:ascii="仿宋_GB2312" w:eastAsia="仿宋_GB2312" w:cs="Times New Roman"/>
          <w:b/>
          <w:bCs/>
          <w:sz w:val="32"/>
          <w:szCs w:val="32"/>
        </w:rPr>
        <w:t>5</w:t>
      </w:r>
      <w:r>
        <w:rPr>
          <w:rFonts w:hint="eastAsia" w:ascii="仿宋_GB2312" w:eastAsia="仿宋_GB2312" w:cs="Times New Roman"/>
          <w:b/>
          <w:bCs/>
          <w:sz w:val="32"/>
          <w:szCs w:val="32"/>
          <w:lang w:val="en-US" w:eastAsia="zh-CN"/>
        </w:rPr>
        <w:t>.</w:t>
      </w:r>
      <w:r>
        <w:rPr>
          <w:rFonts w:hint="eastAsia" w:ascii="仿宋_GB2312" w:eastAsia="仿宋_GB2312" w:cs="Times New Roman"/>
          <w:b/>
          <w:bCs/>
          <w:sz w:val="32"/>
          <w:szCs w:val="32"/>
        </w:rPr>
        <w:t>协助编制和完善安全管理制度：</w:t>
      </w:r>
      <w:r>
        <w:rPr>
          <w:rFonts w:hint="eastAsia" w:ascii="仿宋_GB2312" w:eastAsia="仿宋_GB2312"/>
          <w:sz w:val="32"/>
          <w:szCs w:val="32"/>
        </w:rPr>
        <w:t>依据《信息系统安全等级保护基本要求》和《信息系统等级保护安全设计技术要求》，协助招标方制订和完善各项信息安全管理制度，规范信息安全日常管理工作，提高信息安全基础管理水平。</w:t>
      </w:r>
    </w:p>
    <w:p>
      <w:pPr>
        <w:ind w:firstLine="640"/>
        <w:rPr>
          <w:rFonts w:hint="eastAsia" w:ascii="仿宋_GB2312" w:eastAsia="仿宋_GB2312" w:cs="Times New Roman"/>
          <w:b/>
          <w:bCs/>
          <w:sz w:val="32"/>
          <w:szCs w:val="32"/>
        </w:rPr>
      </w:pPr>
      <w:r>
        <w:rPr>
          <w:rFonts w:hint="eastAsia" w:ascii="仿宋_GB2312" w:eastAsia="仿宋_GB2312" w:cs="Times New Roman"/>
          <w:b/>
          <w:bCs/>
          <w:sz w:val="32"/>
          <w:szCs w:val="32"/>
        </w:rPr>
        <w:t>6</w:t>
      </w:r>
      <w:r>
        <w:rPr>
          <w:rFonts w:hint="eastAsia" w:ascii="仿宋_GB2312" w:eastAsia="仿宋_GB2312" w:cs="Times New Roman"/>
          <w:b/>
          <w:bCs/>
          <w:sz w:val="32"/>
          <w:szCs w:val="32"/>
          <w:lang w:val="en-US" w:eastAsia="zh-CN"/>
        </w:rPr>
        <w:t>.</w:t>
      </w:r>
      <w:r>
        <w:rPr>
          <w:rFonts w:hint="eastAsia" w:ascii="仿宋_GB2312" w:eastAsia="仿宋_GB2312" w:cs="Times New Roman"/>
          <w:b/>
          <w:bCs/>
          <w:sz w:val="32"/>
          <w:szCs w:val="32"/>
        </w:rPr>
        <w:t>协助完善符合相应等级的信息系统的安全整改技术方案。</w:t>
      </w:r>
    </w:p>
    <w:p>
      <w:pPr>
        <w:ind w:firstLine="640"/>
        <w:rPr>
          <w:rFonts w:hint="eastAsia" w:ascii="仿宋_GB2312" w:eastAsia="仿宋_GB2312"/>
          <w:sz w:val="32"/>
          <w:szCs w:val="32"/>
        </w:rPr>
      </w:pPr>
      <w:r>
        <w:rPr>
          <w:rFonts w:hint="eastAsia" w:ascii="仿宋_GB2312" w:eastAsia="仿宋_GB2312"/>
          <w:b/>
          <w:bCs/>
          <w:sz w:val="32"/>
          <w:szCs w:val="32"/>
        </w:rPr>
        <w:t>7</w:t>
      </w:r>
      <w:r>
        <w:rPr>
          <w:rFonts w:hint="eastAsia" w:ascii="仿宋_GB2312" w:eastAsia="仿宋_GB2312"/>
          <w:b/>
          <w:bCs/>
          <w:sz w:val="32"/>
          <w:szCs w:val="32"/>
          <w:lang w:val="en-US" w:eastAsia="zh-CN"/>
        </w:rPr>
        <w:t>.</w:t>
      </w:r>
      <w:r>
        <w:rPr>
          <w:rFonts w:hint="eastAsia" w:ascii="仿宋_GB2312" w:eastAsia="仿宋_GB2312" w:cs="Times New Roman"/>
          <w:b/>
          <w:bCs/>
          <w:sz w:val="32"/>
          <w:szCs w:val="32"/>
        </w:rPr>
        <w:t>完成上述测评和实施整改工作后</w:t>
      </w:r>
      <w:r>
        <w:rPr>
          <w:rFonts w:hint="eastAsia" w:ascii="仿宋_GB2312" w:eastAsia="仿宋_GB2312"/>
          <w:sz w:val="32"/>
          <w:szCs w:val="32"/>
        </w:rPr>
        <w:t>，最后出具符合公安机关要求的（年度）信息系统安全保护等级测评报告。</w:t>
      </w:r>
    </w:p>
    <w:p>
      <w:pPr>
        <w:ind w:firstLine="64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8.其他要求：</w:t>
      </w:r>
    </w:p>
    <w:p>
      <w:pPr>
        <w:ind w:firstLine="640"/>
        <w:rPr>
          <w:rFonts w:hint="eastAsia" w:ascii="仿宋_GB2312" w:eastAsia="仿宋_GB2312"/>
          <w:b w:val="0"/>
          <w:bCs w:val="0"/>
          <w:sz w:val="32"/>
          <w:szCs w:val="32"/>
          <w:lang w:eastAsia="zh-CN"/>
        </w:rPr>
      </w:pPr>
      <w:r>
        <w:rPr>
          <w:rFonts w:hint="eastAsia" w:ascii="仿宋_GB2312" w:eastAsia="仿宋_GB2312"/>
          <w:b w:val="0"/>
          <w:bCs w:val="0"/>
          <w:sz w:val="32"/>
          <w:szCs w:val="32"/>
          <w:lang w:val="en-US" w:eastAsia="zh-CN"/>
        </w:rPr>
        <w:t>（1）</w:t>
      </w:r>
      <w:r>
        <w:rPr>
          <w:rFonts w:hint="eastAsia" w:ascii="仿宋_GB2312" w:hAnsi="Calibri" w:eastAsia="仿宋_GB2312" w:cs="Times New Roman"/>
          <w:b w:val="0"/>
          <w:bCs w:val="0"/>
          <w:kern w:val="2"/>
          <w:sz w:val="32"/>
          <w:szCs w:val="32"/>
          <w:lang w:val="en-US" w:eastAsia="zh-CN" w:bidi="ar-SA"/>
        </w:rPr>
        <w:t>本项目报投标总价，投标人投标报价包括测评服务的一切费用</w:t>
      </w:r>
      <w:r>
        <w:rPr>
          <w:rFonts w:hint="eastAsia" w:ascii="仿宋_GB2312" w:eastAsia="仿宋_GB2312" w:cs="Times New Roman"/>
          <w:b w:val="0"/>
          <w:bCs w:val="0"/>
          <w:kern w:val="2"/>
          <w:sz w:val="32"/>
          <w:szCs w:val="32"/>
          <w:lang w:val="en-US" w:eastAsia="zh-CN" w:bidi="ar-SA"/>
        </w:rPr>
        <w:t>，</w:t>
      </w:r>
      <w:r>
        <w:rPr>
          <w:rFonts w:hint="eastAsia" w:ascii="仿宋_GB2312" w:hAnsi="Calibri" w:eastAsia="仿宋_GB2312" w:cs="Times New Roman"/>
          <w:b w:val="0"/>
          <w:bCs w:val="0"/>
          <w:kern w:val="2"/>
          <w:sz w:val="32"/>
          <w:szCs w:val="32"/>
          <w:lang w:val="en-US" w:eastAsia="zh-CN" w:bidi="ar-SA"/>
        </w:rPr>
        <w:t>包括管理费、利润和税金以及采购合同中的所有责任、义务和风险。</w:t>
      </w:r>
      <w:r>
        <w:rPr>
          <w:rFonts w:hint="eastAsia" w:ascii="仿宋_GB2312" w:eastAsia="仿宋_GB2312"/>
          <w:b w:val="0"/>
          <w:bCs w:val="0"/>
          <w:sz w:val="32"/>
          <w:szCs w:val="32"/>
          <w:lang w:val="en-US" w:eastAsia="zh-CN"/>
        </w:rPr>
        <w:t>中标单位承担评标专家费、</w:t>
      </w:r>
      <w:r>
        <w:rPr>
          <w:rFonts w:hint="eastAsia" w:ascii="仿宋_GB2312" w:eastAsia="仿宋_GB2312"/>
          <w:b w:val="0"/>
          <w:bCs w:val="0"/>
          <w:sz w:val="32"/>
          <w:szCs w:val="32"/>
        </w:rPr>
        <w:t>定级</w:t>
      </w:r>
      <w:r>
        <w:rPr>
          <w:rFonts w:hint="eastAsia" w:ascii="仿宋_GB2312" w:eastAsia="仿宋_GB2312"/>
          <w:b w:val="0"/>
          <w:bCs w:val="0"/>
          <w:sz w:val="32"/>
          <w:szCs w:val="32"/>
          <w:lang w:val="en-US" w:eastAsia="zh-CN"/>
        </w:rPr>
        <w:t>过程</w:t>
      </w:r>
      <w:r>
        <w:rPr>
          <w:rFonts w:hint="eastAsia" w:ascii="仿宋_GB2312" w:eastAsia="仿宋_GB2312"/>
          <w:b w:val="0"/>
          <w:bCs w:val="0"/>
          <w:sz w:val="32"/>
          <w:szCs w:val="32"/>
        </w:rPr>
        <w:t>专家费用</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含评审全过程，不限于评审次数，直至通过评审并取得评审报告所需的全部必要费用</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备案费用（含备案全过程，不限于备案次数，直至通过备案所需的全部必要费用）</w:t>
      </w:r>
      <w:r>
        <w:rPr>
          <w:rFonts w:hint="eastAsia" w:ascii="仿宋_GB2312" w:eastAsia="仿宋_GB2312"/>
          <w:b w:val="0"/>
          <w:bCs w:val="0"/>
          <w:sz w:val="32"/>
          <w:szCs w:val="32"/>
          <w:lang w:eastAsia="zh-CN"/>
        </w:rPr>
        <w:t>。</w:t>
      </w:r>
    </w:p>
    <w:p>
      <w:pPr>
        <w:pStyle w:val="6"/>
        <w:ind w:firstLine="640" w:firstLineChars="200"/>
        <w:rPr>
          <w:rFonts w:hint="default"/>
          <w:lang w:val="en-US" w:eastAsia="zh-CN"/>
        </w:rPr>
      </w:pPr>
      <w:r>
        <w:rPr>
          <w:rFonts w:hint="eastAsia" w:ascii="仿宋_GB2312" w:eastAsia="仿宋_GB2312" w:cs="Times New Roman"/>
          <w:b w:val="0"/>
          <w:bCs w:val="0"/>
          <w:kern w:val="2"/>
          <w:sz w:val="32"/>
          <w:szCs w:val="32"/>
          <w:lang w:val="en-US" w:eastAsia="zh-CN" w:bidi="ar-SA"/>
        </w:rPr>
        <w:t>（2</w:t>
      </w:r>
      <w:bookmarkStart w:id="1" w:name="_GoBack"/>
      <w:bookmarkEnd w:id="1"/>
      <w:r>
        <w:rPr>
          <w:rFonts w:hint="eastAsia" w:ascii="仿宋_GB2312" w:eastAsia="仿宋_GB2312" w:cs="Times New Roman"/>
          <w:b w:val="0"/>
          <w:bCs w:val="0"/>
          <w:kern w:val="2"/>
          <w:sz w:val="32"/>
          <w:szCs w:val="32"/>
          <w:lang w:val="en-US" w:eastAsia="zh-CN" w:bidi="ar-SA"/>
        </w:rPr>
        <w:t>）合同及付款方式，招标人提供合同模板，通过测评取得相应报告并经招标人验收确认后一次性支付。</w:t>
      </w:r>
    </w:p>
    <w:p>
      <w:pPr>
        <w:pStyle w:val="41"/>
        <w:numPr>
          <w:ilvl w:val="0"/>
          <w:numId w:val="2"/>
        </w:numPr>
        <w:ind w:firstLineChars="0"/>
        <w:rPr>
          <w:rFonts w:ascii="黑体" w:hAnsi="黑体" w:eastAsia="黑体"/>
          <w:sz w:val="32"/>
          <w:szCs w:val="32"/>
        </w:rPr>
      </w:pPr>
      <w:r>
        <w:rPr>
          <w:rFonts w:hint="eastAsia" w:ascii="黑体" w:hAnsi="黑体" w:eastAsia="黑体"/>
          <w:sz w:val="32"/>
          <w:szCs w:val="32"/>
        </w:rPr>
        <w:t>供应商资格</w:t>
      </w:r>
    </w:p>
    <w:p>
      <w:pPr>
        <w:widowControl/>
        <w:shd w:val="clear" w:color="auto" w:fill="FFFFFF"/>
        <w:spacing w:line="585" w:lineRule="atLeast"/>
        <w:ind w:firstLine="480"/>
        <w:jc w:val="left"/>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（一）符合《中华人民共和国政府采购法》第二十二条的规定；</w:t>
      </w:r>
    </w:p>
    <w:p>
      <w:pPr>
        <w:widowControl/>
        <w:shd w:val="clear" w:color="auto" w:fill="FFFFFF"/>
        <w:spacing w:line="585" w:lineRule="atLeast"/>
        <w:ind w:firstLine="480"/>
        <w:jc w:val="left"/>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（二）本项目不接受联合申报;</w:t>
      </w:r>
    </w:p>
    <w:p>
      <w:pPr>
        <w:widowControl/>
        <w:shd w:val="clear" w:color="auto" w:fill="FFFFFF"/>
        <w:spacing w:line="585" w:lineRule="atLeast"/>
        <w:ind w:firstLine="48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（三）供应商负面清单，存在不良信用信息记录且有以下情形之一的：</w:t>
      </w:r>
    </w:p>
    <w:p>
      <w:pPr>
        <w:widowControl/>
        <w:shd w:val="clear" w:color="auto" w:fill="FFFFFF"/>
        <w:spacing w:line="585" w:lineRule="atLeast"/>
        <w:ind w:firstLine="48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1.被人民法院列入失信被执行人的;</w:t>
      </w:r>
    </w:p>
    <w:p>
      <w:pPr>
        <w:widowControl/>
        <w:shd w:val="clear" w:color="auto" w:fill="FFFFFF"/>
        <w:spacing w:line="585" w:lineRule="atLeast"/>
        <w:ind w:firstLine="48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2.供应商或其法定代表人或拟派项目经理(项目负责人)被人民检察院列入行贿犯罪档案的;</w:t>
      </w:r>
    </w:p>
    <w:p>
      <w:pPr>
        <w:widowControl/>
        <w:shd w:val="clear" w:color="auto" w:fill="FFFFFF"/>
        <w:spacing w:line="585" w:lineRule="atLeast"/>
        <w:ind w:firstLine="48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3.被工商行政管理部门列入企业经营异常名录的;</w:t>
      </w:r>
    </w:p>
    <w:p>
      <w:pPr>
        <w:widowControl/>
        <w:shd w:val="clear" w:color="auto" w:fill="FFFFFF"/>
        <w:spacing w:line="585" w:lineRule="atLeast"/>
        <w:ind w:firstLine="48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4.被税务部门列入重大税收违法案件当事人名单的;</w:t>
      </w:r>
    </w:p>
    <w:p>
      <w:pPr>
        <w:widowControl/>
        <w:shd w:val="clear" w:color="auto" w:fill="FFFFFF"/>
        <w:spacing w:line="585" w:lineRule="atLeast"/>
        <w:ind w:firstLine="48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5.被政府采购监管部门列入政府采购严重违法失信行为记录名单的。</w:t>
      </w:r>
    </w:p>
    <w:p>
      <w:pPr>
        <w:widowControl/>
        <w:shd w:val="clear" w:color="auto" w:fill="FFFFFF"/>
        <w:spacing w:line="585" w:lineRule="atLeast"/>
        <w:ind w:firstLine="480"/>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（四）</w:t>
      </w:r>
      <w:r>
        <w:rPr>
          <w:rFonts w:ascii="仿宋_GB2312" w:hAnsi="Calibri" w:eastAsia="仿宋_GB2312" w:cs="Calibri"/>
          <w:color w:val="000000"/>
          <w:kern w:val="0"/>
          <w:sz w:val="32"/>
          <w:szCs w:val="32"/>
        </w:rPr>
        <w:t>投标人需出具国家网络安全等级保护工作协调小组办公室颁发的《网络安全等级保护测评机构推荐</w:t>
      </w:r>
      <w:r>
        <w:rPr>
          <w:rFonts w:hint="eastAsia" w:ascii="仿宋_GB2312" w:hAnsi="Calibri" w:eastAsia="仿宋_GB2312" w:cs="Calibri"/>
          <w:color w:val="000000"/>
          <w:kern w:val="0"/>
          <w:sz w:val="32"/>
          <w:szCs w:val="32"/>
        </w:rPr>
        <w:t>证书</w:t>
      </w:r>
      <w:r>
        <w:rPr>
          <w:rFonts w:ascii="仿宋_GB2312" w:hAnsi="Calibri" w:eastAsia="仿宋_GB2312" w:cs="Calibri"/>
          <w:color w:val="000000"/>
          <w:kern w:val="0"/>
          <w:sz w:val="32"/>
          <w:szCs w:val="32"/>
        </w:rPr>
        <w:t>》扫描件并加盖公章；</w:t>
      </w:r>
    </w:p>
    <w:p>
      <w:pPr>
        <w:widowControl/>
        <w:shd w:val="clear" w:color="auto" w:fill="FFFFFF"/>
        <w:spacing w:line="585" w:lineRule="atLeast"/>
        <w:ind w:firstLine="480"/>
        <w:rPr>
          <w:rFonts w:ascii="Calibri" w:hAnsi="Calibri" w:eastAsia="宋体" w:cs="Calibri"/>
          <w:color w:val="000000"/>
          <w:kern w:val="0"/>
          <w:szCs w:val="21"/>
        </w:rPr>
      </w:pPr>
      <w:r>
        <w:rPr>
          <w:rFonts w:hint="eastAsia" w:ascii="仿宋_GB2312" w:hAnsi="Calibri" w:eastAsia="仿宋_GB2312" w:cs="Calibri"/>
          <w:color w:val="000000"/>
          <w:kern w:val="0"/>
          <w:sz w:val="32"/>
          <w:szCs w:val="32"/>
        </w:rPr>
        <w:t>（五）</w:t>
      </w:r>
      <w:r>
        <w:rPr>
          <w:rFonts w:ascii="仿宋_GB2312" w:hAnsi="Calibri" w:eastAsia="仿宋_GB2312" w:cs="Calibri"/>
          <w:color w:val="000000"/>
          <w:kern w:val="0"/>
          <w:sz w:val="32"/>
          <w:szCs w:val="32"/>
        </w:rPr>
        <w:t>投标人须公告在《中国网络安全等级保护网》的《全国网络安全等级保护测评机构推荐目录》中。</w:t>
      </w:r>
    </w:p>
    <w:p>
      <w:pPr>
        <w:pStyle w:val="41"/>
        <w:numPr>
          <w:ilvl w:val="0"/>
          <w:numId w:val="2"/>
        </w:numPr>
        <w:ind w:firstLineChars="0"/>
        <w:rPr>
          <w:rFonts w:ascii="黑体" w:hAnsi="黑体" w:eastAsia="黑体"/>
          <w:sz w:val="32"/>
          <w:szCs w:val="32"/>
        </w:rPr>
      </w:pPr>
      <w:r>
        <w:rPr>
          <w:rFonts w:hint="eastAsia" w:ascii="黑体" w:hAnsi="黑体" w:eastAsia="黑体"/>
          <w:sz w:val="32"/>
          <w:szCs w:val="32"/>
        </w:rPr>
        <w:t>联系方式</w:t>
      </w:r>
    </w:p>
    <w:p>
      <w:pPr>
        <w:rPr>
          <w:rFonts w:hint="default" w:ascii="仿宋_GB2312" w:eastAsia="仿宋_GB2312"/>
          <w:sz w:val="32"/>
          <w:szCs w:val="32"/>
          <w:lang w:val="en-US" w:eastAsia="zh-CN"/>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lang w:val="en-US" w:eastAsia="zh-CN"/>
        </w:rPr>
        <w:t>杨</w:t>
      </w:r>
      <w:r>
        <w:rPr>
          <w:rFonts w:hint="eastAsia" w:ascii="仿宋_GB2312" w:eastAsia="仿宋_GB2312"/>
          <w:sz w:val="32"/>
          <w:szCs w:val="32"/>
        </w:rPr>
        <w:t xml:space="preserve">工 </w:t>
      </w:r>
      <w:r>
        <w:rPr>
          <w:rFonts w:ascii="仿宋_GB2312" w:eastAsia="仿宋_GB2312"/>
          <w:sz w:val="32"/>
          <w:szCs w:val="32"/>
        </w:rPr>
        <w:t>1</w:t>
      </w:r>
      <w:r>
        <w:rPr>
          <w:rFonts w:hint="eastAsia" w:ascii="仿宋_GB2312" w:eastAsia="仿宋_GB2312"/>
          <w:sz w:val="32"/>
          <w:szCs w:val="32"/>
          <w:lang w:val="en-US" w:eastAsia="zh-CN"/>
        </w:rPr>
        <w:t>5209862049</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邮箱：</w:t>
      </w:r>
      <w:r>
        <w:rPr>
          <w:rFonts w:hint="eastAsia" w:ascii="仿宋_GB2312" w:eastAsia="仿宋_GB2312"/>
          <w:sz w:val="32"/>
          <w:szCs w:val="32"/>
          <w:lang w:val="en-US" w:eastAsia="zh-CN"/>
        </w:rPr>
        <w:t>yangkezhi@bigdatahefei.com</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地址：</w:t>
      </w:r>
      <w:r>
        <w:rPr>
          <w:rFonts w:hint="eastAsia" w:ascii="仿宋_GB2312" w:eastAsia="仿宋_GB2312"/>
          <w:sz w:val="32"/>
          <w:szCs w:val="32"/>
          <w:lang w:val="en-US" w:eastAsia="zh-CN"/>
        </w:rPr>
        <w:t>合肥市蜀山区湖光路1201号自主创新产业基地三期（南区）B座14层</w:t>
      </w:r>
      <w:r>
        <w:rPr>
          <w:rFonts w:hint="eastAsia" w:ascii="仿宋_GB2312" w:eastAsia="仿宋_GB2312"/>
          <w:sz w:val="32"/>
          <w:szCs w:val="32"/>
        </w:rPr>
        <w:t>；合肥市</w:t>
      </w:r>
      <w:r>
        <w:rPr>
          <w:rFonts w:hint="eastAsia" w:ascii="仿宋_GB2312" w:eastAsia="仿宋_GB2312"/>
          <w:sz w:val="32"/>
          <w:szCs w:val="32"/>
          <w:lang w:val="en-US" w:eastAsia="zh-CN"/>
        </w:rPr>
        <w:t>数智城市投资</w:t>
      </w:r>
      <w:r>
        <w:rPr>
          <w:rFonts w:hint="eastAsia" w:ascii="仿宋_GB2312" w:eastAsia="仿宋_GB2312"/>
          <w:sz w:val="32"/>
          <w:szCs w:val="32"/>
        </w:rPr>
        <w:t>运营有限公司</w:t>
      </w:r>
    </w:p>
    <w:p>
      <w:pPr>
        <w:pStyle w:val="41"/>
        <w:numPr>
          <w:ilvl w:val="0"/>
          <w:numId w:val="2"/>
        </w:numPr>
        <w:ind w:firstLineChars="0"/>
        <w:rPr>
          <w:rFonts w:ascii="黑体" w:hAnsi="黑体" w:eastAsia="黑体"/>
          <w:sz w:val="32"/>
          <w:szCs w:val="32"/>
        </w:rPr>
      </w:pPr>
      <w:r>
        <w:rPr>
          <w:rFonts w:hint="eastAsia" w:ascii="黑体" w:hAnsi="黑体" w:eastAsia="黑体"/>
          <w:sz w:val="32"/>
          <w:szCs w:val="32"/>
        </w:rPr>
        <w:t>报价声明</w:t>
      </w:r>
    </w:p>
    <w:p>
      <w:pPr>
        <w:pStyle w:val="41"/>
        <w:ind w:firstLine="640"/>
        <w:rPr>
          <w:rFonts w:ascii="仿宋_GB2312" w:hAnsi="黑体" w:eastAsia="仿宋_GB2312"/>
          <w:color w:val="000000"/>
          <w:sz w:val="32"/>
          <w:szCs w:val="32"/>
        </w:rPr>
      </w:pPr>
      <w:r>
        <w:rPr>
          <w:rFonts w:hint="eastAsia" w:ascii="仿宋_GB2312" w:hAnsi="黑体" w:eastAsia="仿宋_GB2312"/>
          <w:color w:val="000000"/>
          <w:sz w:val="32"/>
          <w:szCs w:val="32"/>
        </w:rPr>
        <w:t>项目总报价</w:t>
      </w:r>
      <w:r>
        <w:rPr>
          <w:rFonts w:hint="eastAsia" w:ascii="仿宋_GB2312" w:hAnsi="黑体" w:eastAsia="仿宋_GB2312"/>
          <w:color w:val="000000"/>
          <w:sz w:val="32"/>
          <w:szCs w:val="32"/>
          <w:lang w:val="en-US" w:eastAsia="zh-CN"/>
        </w:rPr>
        <w:t>不得</w:t>
      </w:r>
      <w:r>
        <w:rPr>
          <w:rFonts w:hint="eastAsia" w:ascii="仿宋_GB2312" w:hAnsi="黑体" w:eastAsia="仿宋_GB2312"/>
          <w:color w:val="000000"/>
          <w:sz w:val="32"/>
          <w:szCs w:val="32"/>
        </w:rPr>
        <w:t>超过</w:t>
      </w:r>
      <w:r>
        <w:rPr>
          <w:rFonts w:ascii="仿宋_GB2312" w:hAnsi="黑体" w:eastAsia="仿宋_GB2312"/>
          <w:color w:val="000000"/>
          <w:sz w:val="32"/>
          <w:szCs w:val="32"/>
        </w:rPr>
        <w:t>9</w:t>
      </w:r>
      <w:r>
        <w:rPr>
          <w:rFonts w:hint="eastAsia" w:ascii="仿宋_GB2312" w:hAnsi="黑体" w:eastAsia="仿宋_GB2312"/>
          <w:color w:val="000000"/>
          <w:sz w:val="32"/>
          <w:szCs w:val="32"/>
        </w:rPr>
        <w:t>万元，否则报价无效。项目总报价包含完成本项目产生的一切费用，</w:t>
      </w:r>
      <w:r>
        <w:rPr>
          <w:rFonts w:hint="eastAsia" w:ascii="仿宋_GB2312" w:hAnsi="黑体" w:eastAsia="仿宋_GB2312"/>
          <w:b/>
          <w:bCs/>
          <w:color w:val="000000"/>
          <w:sz w:val="32"/>
          <w:szCs w:val="32"/>
        </w:rPr>
        <w:t>本次评标专家费由中标单位承担</w:t>
      </w:r>
      <w:r>
        <w:rPr>
          <w:rFonts w:hint="eastAsia" w:ascii="仿宋_GB2312" w:hAnsi="黑体" w:eastAsia="仿宋_GB2312"/>
          <w:b w:val="0"/>
          <w:bCs w:val="0"/>
          <w:color w:val="000000"/>
          <w:sz w:val="32"/>
          <w:szCs w:val="32"/>
          <w:lang w:eastAsia="zh-CN"/>
        </w:rPr>
        <w:t>（</w:t>
      </w:r>
      <w:r>
        <w:rPr>
          <w:rFonts w:hint="eastAsia" w:ascii="仿宋_GB2312" w:hAnsi="黑体" w:eastAsia="仿宋_GB2312"/>
          <w:b w:val="0"/>
          <w:bCs w:val="0"/>
          <w:color w:val="000000"/>
          <w:sz w:val="32"/>
          <w:szCs w:val="32"/>
          <w:lang w:val="en-US" w:eastAsia="zh-CN"/>
        </w:rPr>
        <w:t>专家费用支付节点以招标人要求为准</w:t>
      </w:r>
      <w:r>
        <w:rPr>
          <w:rFonts w:hint="eastAsia" w:ascii="仿宋_GB2312" w:hAnsi="黑体" w:eastAsia="仿宋_GB2312"/>
          <w:b w:val="0"/>
          <w:bCs w:val="0"/>
          <w:color w:val="000000"/>
          <w:sz w:val="32"/>
          <w:szCs w:val="32"/>
          <w:lang w:eastAsia="zh-CN"/>
        </w:rPr>
        <w:t>）</w:t>
      </w:r>
      <w:r>
        <w:rPr>
          <w:rFonts w:hint="eastAsia" w:ascii="仿宋_GB2312" w:hAnsi="黑体" w:eastAsia="仿宋_GB2312"/>
          <w:color w:val="000000"/>
          <w:sz w:val="32"/>
          <w:szCs w:val="32"/>
        </w:rPr>
        <w:t>，采购单位后期不得以任何理由向本公司追加费用，供应商报价时应综合考虑报价风险。</w:t>
      </w:r>
    </w:p>
    <w:p>
      <w:pPr>
        <w:pStyle w:val="41"/>
        <w:numPr>
          <w:ilvl w:val="0"/>
          <w:numId w:val="2"/>
        </w:numPr>
        <w:ind w:firstLineChars="0"/>
        <w:rPr>
          <w:rFonts w:ascii="黑体" w:hAnsi="黑体" w:eastAsia="黑体"/>
          <w:sz w:val="32"/>
          <w:szCs w:val="32"/>
        </w:rPr>
      </w:pPr>
      <w:r>
        <w:rPr>
          <w:rFonts w:hint="eastAsia" w:ascii="黑体" w:hAnsi="黑体" w:eastAsia="黑体"/>
          <w:sz w:val="32"/>
          <w:szCs w:val="32"/>
        </w:rPr>
        <w:t>评标办法</w:t>
      </w:r>
    </w:p>
    <w:p>
      <w:pPr>
        <w:ind w:firstLine="645"/>
        <w:rPr>
          <w:rFonts w:ascii="仿宋_GB2312" w:eastAsia="仿宋_GB2312"/>
          <w:sz w:val="32"/>
          <w:szCs w:val="32"/>
        </w:rPr>
      </w:pPr>
      <w:r>
        <w:rPr>
          <w:rFonts w:hint="eastAsia" w:ascii="仿宋_GB2312" w:eastAsia="仿宋_GB2312"/>
          <w:sz w:val="32"/>
          <w:szCs w:val="32"/>
        </w:rPr>
        <w:t>本次询价采购采取综合评分法进行评审，满分</w:t>
      </w:r>
      <w:r>
        <w:rPr>
          <w:rFonts w:ascii="仿宋_GB2312" w:eastAsia="仿宋_GB2312"/>
          <w:sz w:val="32"/>
          <w:szCs w:val="32"/>
        </w:rPr>
        <w:t>100分，由</w:t>
      </w:r>
      <w:r>
        <w:rPr>
          <w:rFonts w:ascii="仿宋_GB2312" w:eastAsia="仿宋_GB2312"/>
          <w:b/>
          <w:bCs/>
          <w:sz w:val="32"/>
          <w:szCs w:val="32"/>
        </w:rPr>
        <w:t>综合评定得分最高一方中标，综合评定</w:t>
      </w:r>
      <w:r>
        <w:rPr>
          <w:rFonts w:hint="eastAsia" w:ascii="仿宋_GB2312" w:eastAsia="仿宋_GB2312"/>
          <w:b/>
          <w:bCs/>
          <w:sz w:val="32"/>
          <w:szCs w:val="32"/>
        </w:rPr>
        <w:t>最高</w:t>
      </w:r>
      <w:r>
        <w:rPr>
          <w:rFonts w:ascii="仿宋_GB2312" w:eastAsia="仿宋_GB2312"/>
          <w:b/>
          <w:bCs/>
          <w:sz w:val="32"/>
          <w:szCs w:val="32"/>
        </w:rPr>
        <w:t>得分</w:t>
      </w:r>
      <w:r>
        <w:rPr>
          <w:rFonts w:hint="eastAsia" w:ascii="仿宋_GB2312" w:eastAsia="仿宋_GB2312"/>
          <w:b/>
          <w:bCs/>
          <w:sz w:val="32"/>
          <w:szCs w:val="32"/>
        </w:rPr>
        <w:t>相同的情况下，其中投标报价最低者中标，投标报价仍相同的情况下，随机抽取决定</w:t>
      </w:r>
      <w:r>
        <w:rPr>
          <w:rFonts w:ascii="仿宋_GB2312" w:eastAsia="仿宋_GB2312"/>
          <w:b/>
          <w:bCs/>
          <w:sz w:val="32"/>
          <w:szCs w:val="32"/>
        </w:rPr>
        <w:t>中标</w:t>
      </w:r>
      <w:r>
        <w:rPr>
          <w:rFonts w:hint="eastAsia" w:ascii="仿宋_GB2312" w:eastAsia="仿宋_GB2312"/>
          <w:b/>
          <w:bCs/>
          <w:sz w:val="32"/>
          <w:szCs w:val="32"/>
        </w:rPr>
        <w:t>单位</w:t>
      </w:r>
      <w:r>
        <w:rPr>
          <w:rFonts w:ascii="仿宋_GB2312" w:eastAsia="仿宋_GB2312"/>
          <w:sz w:val="32"/>
          <w:szCs w:val="32"/>
        </w:rPr>
        <w:t>，具体评定要求及得分占比如下：</w:t>
      </w:r>
    </w:p>
    <w:p>
      <w:pPr>
        <w:pStyle w:val="50"/>
        <w:wordWrap w:val="0"/>
        <w:adjustRightInd/>
        <w:spacing w:line="360" w:lineRule="auto"/>
        <w:ind w:firstLine="482" w:firstLineChars="200"/>
        <w:jc w:val="center"/>
        <w:outlineLvl w:val="2"/>
        <w:rPr>
          <w:b/>
        </w:rPr>
      </w:pPr>
      <w:r>
        <w:rPr>
          <w:rFonts w:hint="eastAsia"/>
          <w:b/>
        </w:rPr>
        <w:t>评分办法细则</w:t>
      </w:r>
    </w:p>
    <w:tbl>
      <w:tblPr>
        <w:tblStyle w:val="22"/>
        <w:tblW w:w="9837"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922"/>
        <w:gridCol w:w="671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97" w:type="dxa"/>
            <w:vAlign w:val="center"/>
          </w:tcPr>
          <w:p>
            <w:pPr>
              <w:spacing w:line="360" w:lineRule="exact"/>
              <w:jc w:val="center"/>
              <w:rPr>
                <w:rFonts w:ascii="宋体" w:hAnsi="宋体"/>
                <w:b/>
                <w:bCs/>
                <w:color w:val="auto"/>
                <w:sz w:val="24"/>
                <w:szCs w:val="24"/>
              </w:rPr>
            </w:pPr>
            <w:r>
              <w:rPr>
                <w:rFonts w:hint="eastAsia" w:ascii="宋体" w:hAnsi="宋体"/>
                <w:b/>
                <w:bCs/>
                <w:color w:val="auto"/>
                <w:sz w:val="24"/>
                <w:szCs w:val="24"/>
              </w:rPr>
              <w:t>类别</w:t>
            </w:r>
          </w:p>
        </w:tc>
        <w:tc>
          <w:tcPr>
            <w:tcW w:w="922" w:type="dxa"/>
            <w:tcBorders>
              <w:bottom w:val="single" w:color="auto" w:sz="4" w:space="0"/>
            </w:tcBorders>
            <w:vAlign w:val="center"/>
          </w:tcPr>
          <w:p>
            <w:pPr>
              <w:spacing w:line="360" w:lineRule="exact"/>
              <w:jc w:val="center"/>
              <w:rPr>
                <w:rFonts w:ascii="宋体" w:hAnsi="宋体"/>
                <w:b/>
                <w:bCs/>
                <w:color w:val="auto"/>
                <w:sz w:val="24"/>
                <w:szCs w:val="24"/>
              </w:rPr>
            </w:pPr>
            <w:r>
              <w:rPr>
                <w:rFonts w:hint="eastAsia" w:ascii="宋体" w:hAnsi="宋体"/>
                <w:b/>
                <w:bCs/>
                <w:color w:val="auto"/>
                <w:sz w:val="24"/>
                <w:szCs w:val="24"/>
              </w:rPr>
              <w:t>分值</w:t>
            </w:r>
          </w:p>
        </w:tc>
        <w:tc>
          <w:tcPr>
            <w:tcW w:w="6718" w:type="dxa"/>
            <w:vAlign w:val="center"/>
          </w:tcPr>
          <w:p>
            <w:pPr>
              <w:spacing w:line="360" w:lineRule="exact"/>
              <w:jc w:val="center"/>
              <w:rPr>
                <w:rFonts w:ascii="宋体" w:hAnsi="宋体"/>
                <w:b/>
                <w:bCs/>
                <w:color w:val="auto"/>
                <w:sz w:val="24"/>
                <w:szCs w:val="24"/>
              </w:rPr>
            </w:pPr>
            <w:r>
              <w:rPr>
                <w:rFonts w:hint="eastAsia" w:ascii="宋体" w:hAnsi="宋体"/>
                <w:b/>
                <w:bCs/>
                <w:color w:val="auto"/>
                <w:sz w:val="24"/>
                <w:szCs w:val="24"/>
              </w:rPr>
              <w:t>评审内容及标准</w:t>
            </w:r>
          </w:p>
        </w:tc>
        <w:tc>
          <w:tcPr>
            <w:tcW w:w="1100" w:type="dxa"/>
            <w:vAlign w:val="center"/>
          </w:tcPr>
          <w:p>
            <w:pPr>
              <w:tabs>
                <w:tab w:val="left" w:pos="657"/>
              </w:tabs>
              <w:spacing w:line="360" w:lineRule="exact"/>
              <w:jc w:val="center"/>
              <w:rPr>
                <w:rFonts w:ascii="宋体" w:hAnsi="宋体"/>
                <w:b/>
                <w:bCs/>
                <w:color w:val="auto"/>
                <w:sz w:val="24"/>
                <w:szCs w:val="24"/>
              </w:rPr>
            </w:pPr>
            <w:r>
              <w:rPr>
                <w:rFonts w:hint="eastAsia" w:ascii="宋体" w:hAnsi="宋体"/>
                <w:b/>
                <w:bCs/>
                <w:color w:val="auto"/>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7" w:type="dxa"/>
            <w:vMerge w:val="restart"/>
            <w:tcBorders>
              <w:right w:val="single" w:color="auto" w:sz="4" w:space="0"/>
            </w:tcBorders>
            <w:vAlign w:val="center"/>
          </w:tcPr>
          <w:p>
            <w:pPr>
              <w:spacing w:line="360" w:lineRule="exact"/>
              <w:jc w:val="center"/>
              <w:rPr>
                <w:rFonts w:ascii="宋体" w:hAnsi="宋体"/>
                <w:color w:val="auto"/>
                <w:sz w:val="24"/>
                <w:szCs w:val="24"/>
              </w:rPr>
            </w:pPr>
            <w:r>
              <w:rPr>
                <w:rFonts w:hint="eastAsia" w:ascii="宋体" w:hAnsi="宋体"/>
                <w:color w:val="auto"/>
                <w:sz w:val="24"/>
                <w:szCs w:val="24"/>
              </w:rPr>
              <w:t>技术分</w:t>
            </w:r>
          </w:p>
          <w:p>
            <w:pPr>
              <w:pStyle w:val="53"/>
              <w:ind w:firstLine="0" w:firstLineChars="0"/>
              <w:rPr>
                <w:rFonts w:hAnsi="宋体" w:eastAsia="宋体" w:cs="宋体"/>
                <w:color w:val="auto"/>
                <w:sz w:val="24"/>
                <w:szCs w:val="24"/>
              </w:rPr>
            </w:pPr>
            <w:r>
              <w:rPr>
                <w:rFonts w:hint="eastAsia" w:hAnsi="宋体" w:eastAsia="宋体" w:cs="宋体"/>
                <w:color w:val="auto"/>
                <w:sz w:val="24"/>
                <w:szCs w:val="24"/>
              </w:rPr>
              <w:t>（</w:t>
            </w:r>
            <w:r>
              <w:rPr>
                <w:rFonts w:hAnsi="宋体" w:eastAsia="宋体" w:cs="宋体"/>
                <w:color w:val="auto"/>
                <w:sz w:val="24"/>
                <w:szCs w:val="24"/>
              </w:rPr>
              <w:t>20</w:t>
            </w:r>
            <w:r>
              <w:rPr>
                <w:rFonts w:hint="eastAsia" w:hAnsi="宋体" w:eastAsia="宋体" w:cs="宋体"/>
                <w:color w:val="auto"/>
                <w:sz w:val="24"/>
                <w:szCs w:val="24"/>
              </w:rPr>
              <w:t>分）</w:t>
            </w:r>
          </w:p>
        </w:tc>
        <w:tc>
          <w:tcPr>
            <w:tcW w:w="922" w:type="dxa"/>
            <w:tcBorders>
              <w:top w:val="single" w:color="auto" w:sz="4" w:space="0"/>
              <w:left w:val="single" w:color="auto" w:sz="4" w:space="0"/>
              <w:right w:val="single" w:color="auto" w:sz="4" w:space="0"/>
            </w:tcBorders>
            <w:vAlign w:val="center"/>
          </w:tcPr>
          <w:p>
            <w:pPr>
              <w:spacing w:line="360" w:lineRule="exact"/>
              <w:jc w:val="center"/>
              <w:rPr>
                <w:rFonts w:ascii="宋体" w:hAnsi="宋体"/>
                <w:color w:val="auto"/>
                <w:sz w:val="24"/>
                <w:szCs w:val="24"/>
              </w:rPr>
            </w:pPr>
            <w:r>
              <w:rPr>
                <w:rFonts w:hint="eastAsia" w:ascii="宋体" w:hAnsi="宋体"/>
                <w:color w:val="auto"/>
                <w:sz w:val="24"/>
                <w:szCs w:val="24"/>
              </w:rPr>
              <w:t>测评</w:t>
            </w:r>
          </w:p>
          <w:p>
            <w:pPr>
              <w:spacing w:line="360" w:lineRule="exact"/>
              <w:jc w:val="center"/>
              <w:rPr>
                <w:rFonts w:ascii="宋体" w:hAnsi="宋体"/>
                <w:color w:val="auto"/>
                <w:sz w:val="24"/>
                <w:szCs w:val="24"/>
              </w:rPr>
            </w:pPr>
            <w:r>
              <w:rPr>
                <w:rFonts w:hint="eastAsia" w:ascii="宋体" w:hAnsi="宋体"/>
                <w:color w:val="auto"/>
                <w:sz w:val="24"/>
                <w:szCs w:val="24"/>
              </w:rPr>
              <w:t>方案</w:t>
            </w:r>
          </w:p>
        </w:tc>
        <w:tc>
          <w:tcPr>
            <w:tcW w:w="6718" w:type="dxa"/>
            <w:tcBorders>
              <w:left w:val="single" w:color="auto" w:sz="4" w:space="0"/>
            </w:tcBorders>
            <w:vAlign w:val="center"/>
          </w:tcPr>
          <w:p>
            <w:pPr>
              <w:widowControl/>
              <w:spacing w:line="360" w:lineRule="exact"/>
              <w:rPr>
                <w:rFonts w:ascii="宋体" w:hAnsi="宋体"/>
                <w:color w:val="auto"/>
                <w:sz w:val="24"/>
                <w:szCs w:val="24"/>
              </w:rPr>
            </w:pPr>
            <w:r>
              <w:rPr>
                <w:rFonts w:hint="eastAsia" w:ascii="宋体" w:hAnsi="宋体"/>
                <w:color w:val="auto"/>
                <w:sz w:val="24"/>
                <w:szCs w:val="24"/>
              </w:rPr>
              <w:t>投标人提供测评方案，方案包含以下内容：</w:t>
            </w:r>
          </w:p>
          <w:p>
            <w:pPr>
              <w:widowControl/>
              <w:spacing w:line="360" w:lineRule="exact"/>
              <w:rPr>
                <w:rFonts w:ascii="宋体" w:hAnsi="宋体"/>
                <w:color w:val="auto"/>
                <w:sz w:val="24"/>
                <w:szCs w:val="24"/>
              </w:rPr>
            </w:pPr>
            <w:r>
              <w:rPr>
                <w:rFonts w:hint="eastAsia" w:ascii="宋体" w:hAnsi="宋体"/>
                <w:color w:val="auto"/>
                <w:sz w:val="24"/>
                <w:szCs w:val="24"/>
              </w:rPr>
              <w:t>1、项目概述、被测系统描述、测评对象和指标、测评方法与工具、</w:t>
            </w:r>
          </w:p>
          <w:p>
            <w:pPr>
              <w:widowControl/>
              <w:spacing w:line="360" w:lineRule="exact"/>
              <w:rPr>
                <w:rFonts w:ascii="宋体" w:hAnsi="宋体"/>
                <w:color w:val="auto"/>
                <w:sz w:val="24"/>
                <w:szCs w:val="24"/>
              </w:rPr>
            </w:pPr>
            <w:r>
              <w:rPr>
                <w:rFonts w:hint="eastAsia" w:ascii="宋体" w:hAnsi="宋体"/>
                <w:color w:val="auto"/>
                <w:sz w:val="24"/>
                <w:szCs w:val="24"/>
              </w:rPr>
              <w:t>方案全面合理，方法科学清晰，可操作性强，得6分；</w:t>
            </w:r>
          </w:p>
          <w:p>
            <w:pPr>
              <w:widowControl/>
              <w:spacing w:line="360" w:lineRule="exact"/>
              <w:rPr>
                <w:rFonts w:ascii="宋体" w:hAnsi="宋体"/>
                <w:color w:val="auto"/>
                <w:sz w:val="24"/>
                <w:szCs w:val="24"/>
              </w:rPr>
            </w:pPr>
            <w:r>
              <w:rPr>
                <w:rFonts w:hint="eastAsia" w:ascii="宋体" w:hAnsi="宋体"/>
                <w:color w:val="auto"/>
                <w:sz w:val="24"/>
                <w:szCs w:val="24"/>
              </w:rPr>
              <w:t>方案基本合理，方法较科学清晰，可操作性一般，得4分；</w:t>
            </w:r>
          </w:p>
          <w:p>
            <w:pPr>
              <w:widowControl/>
              <w:spacing w:line="360" w:lineRule="exact"/>
              <w:rPr>
                <w:rFonts w:ascii="宋体" w:hAnsi="宋体"/>
                <w:color w:val="auto"/>
                <w:sz w:val="24"/>
                <w:szCs w:val="24"/>
              </w:rPr>
            </w:pPr>
            <w:r>
              <w:rPr>
                <w:rFonts w:hint="eastAsia" w:ascii="宋体" w:hAnsi="宋体"/>
                <w:color w:val="auto"/>
                <w:sz w:val="24"/>
                <w:szCs w:val="24"/>
              </w:rPr>
              <w:t>方案不太合理，方法不科学且混乱，可操作性弱，得2分。</w:t>
            </w:r>
          </w:p>
          <w:p>
            <w:pPr>
              <w:widowControl/>
              <w:spacing w:line="360" w:lineRule="exact"/>
              <w:rPr>
                <w:rFonts w:ascii="宋体" w:hAnsi="宋体"/>
                <w:color w:val="auto"/>
                <w:sz w:val="24"/>
                <w:szCs w:val="24"/>
              </w:rPr>
            </w:pPr>
            <w:r>
              <w:rPr>
                <w:rFonts w:hint="eastAsia" w:ascii="宋体" w:hAnsi="宋体"/>
                <w:color w:val="auto"/>
                <w:sz w:val="24"/>
                <w:szCs w:val="24"/>
              </w:rPr>
              <w:t>2、测评内容和实施、人员安排、服务质量保证、服务风险控制等方面的内容。</w:t>
            </w:r>
          </w:p>
          <w:p>
            <w:pPr>
              <w:widowControl/>
              <w:spacing w:line="360" w:lineRule="exact"/>
              <w:rPr>
                <w:rFonts w:ascii="宋体" w:hAnsi="宋体"/>
                <w:color w:val="auto"/>
                <w:sz w:val="24"/>
                <w:szCs w:val="24"/>
              </w:rPr>
            </w:pPr>
            <w:r>
              <w:rPr>
                <w:rFonts w:hint="eastAsia" w:ascii="宋体" w:hAnsi="宋体"/>
                <w:color w:val="auto"/>
                <w:sz w:val="24"/>
                <w:szCs w:val="24"/>
              </w:rPr>
              <w:t>方案合理，方法科学，可操作性强，得6分；</w:t>
            </w:r>
          </w:p>
          <w:p>
            <w:pPr>
              <w:widowControl/>
              <w:spacing w:line="360" w:lineRule="exact"/>
              <w:rPr>
                <w:rFonts w:ascii="宋体" w:hAnsi="宋体"/>
                <w:color w:val="auto"/>
                <w:sz w:val="24"/>
                <w:szCs w:val="24"/>
              </w:rPr>
            </w:pPr>
            <w:r>
              <w:rPr>
                <w:rFonts w:hint="eastAsia" w:ascii="宋体" w:hAnsi="宋体"/>
                <w:color w:val="auto"/>
                <w:sz w:val="24"/>
                <w:szCs w:val="24"/>
              </w:rPr>
              <w:t>方案较合理，方法较科学，操作性较强，得4分；</w:t>
            </w:r>
          </w:p>
          <w:p>
            <w:pPr>
              <w:widowControl/>
              <w:spacing w:line="360" w:lineRule="exact"/>
              <w:rPr>
                <w:rFonts w:ascii="宋体" w:hAnsi="宋体"/>
                <w:color w:val="auto"/>
                <w:sz w:val="24"/>
                <w:szCs w:val="24"/>
              </w:rPr>
            </w:pPr>
            <w:r>
              <w:rPr>
                <w:rFonts w:hint="eastAsia" w:ascii="宋体" w:hAnsi="宋体"/>
                <w:color w:val="auto"/>
                <w:sz w:val="24"/>
                <w:szCs w:val="24"/>
              </w:rPr>
              <w:t>方案合理性有待提升，方法科学性有待提升，可操作性有待提升，得2分。</w:t>
            </w:r>
          </w:p>
        </w:tc>
        <w:tc>
          <w:tcPr>
            <w:tcW w:w="1100" w:type="dxa"/>
            <w:vAlign w:val="center"/>
          </w:tcPr>
          <w:p>
            <w:pPr>
              <w:spacing w:line="360" w:lineRule="exact"/>
              <w:jc w:val="center"/>
              <w:rPr>
                <w:rFonts w:ascii="宋体" w:hAnsi="宋体"/>
                <w:color w:val="auto"/>
                <w:sz w:val="24"/>
                <w:szCs w:val="24"/>
              </w:rPr>
            </w:pPr>
            <w:r>
              <w:rPr>
                <w:rFonts w:hint="eastAsia" w:ascii="宋体" w:hAnsi="宋体"/>
                <w:color w:val="auto"/>
                <w:sz w:val="24"/>
                <w:szCs w:val="24"/>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097" w:type="dxa"/>
            <w:vMerge w:val="continue"/>
            <w:tcBorders>
              <w:right w:val="single" w:color="auto" w:sz="4" w:space="0"/>
            </w:tcBorders>
            <w:vAlign w:val="center"/>
          </w:tcPr>
          <w:p>
            <w:pPr>
              <w:spacing w:line="360" w:lineRule="exact"/>
              <w:jc w:val="center"/>
              <w:rPr>
                <w:rFonts w:ascii="宋体" w:hAnsi="宋体"/>
                <w:color w:val="auto"/>
                <w:sz w:val="24"/>
                <w:szCs w:val="24"/>
              </w:rPr>
            </w:pPr>
          </w:p>
        </w:tc>
        <w:tc>
          <w:tcPr>
            <w:tcW w:w="922" w:type="dxa"/>
            <w:tcBorders>
              <w:top w:val="single" w:color="auto" w:sz="4" w:space="0"/>
              <w:left w:val="single" w:color="auto" w:sz="4" w:space="0"/>
              <w:right w:val="single" w:color="auto" w:sz="4" w:space="0"/>
            </w:tcBorders>
            <w:vAlign w:val="center"/>
          </w:tcPr>
          <w:p>
            <w:pPr>
              <w:spacing w:line="360" w:lineRule="exact"/>
              <w:jc w:val="center"/>
              <w:rPr>
                <w:color w:val="auto"/>
              </w:rPr>
            </w:pPr>
            <w:r>
              <w:rPr>
                <w:rFonts w:hint="eastAsia" w:asciiTheme="minorEastAsia" w:hAnsiTheme="minorEastAsia" w:eastAsiaTheme="minorEastAsia"/>
                <w:bCs/>
                <w:color w:val="auto"/>
                <w:sz w:val="24"/>
                <w:szCs w:val="24"/>
              </w:rPr>
              <w:t>测评设备和工具</w:t>
            </w:r>
          </w:p>
        </w:tc>
        <w:tc>
          <w:tcPr>
            <w:tcW w:w="6718" w:type="dxa"/>
            <w:tcBorders>
              <w:left w:val="single" w:color="auto" w:sz="4" w:space="0"/>
            </w:tcBorders>
            <w:vAlign w:val="center"/>
          </w:tcPr>
          <w:p>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投标人具有下列等级测评设备和工具：</w:t>
            </w:r>
          </w:p>
          <w:p>
            <w:pPr>
              <w:spacing w:line="360" w:lineRule="auto"/>
              <w:rPr>
                <w:rFonts w:asciiTheme="minorEastAsia" w:hAnsiTheme="minorEastAsia" w:eastAsiaTheme="minorEastAsia"/>
                <w:bCs/>
                <w:color w:val="auto"/>
                <w:sz w:val="24"/>
                <w:szCs w:val="24"/>
              </w:rPr>
            </w:pPr>
            <w:r>
              <w:rPr>
                <w:rFonts w:hint="eastAsia" w:asciiTheme="minorEastAsia" w:hAnsiTheme="minorEastAsia" w:eastAsiaTheme="minorEastAsia"/>
                <w:bCs/>
                <w:color w:val="auto"/>
                <w:sz w:val="24"/>
                <w:szCs w:val="24"/>
              </w:rPr>
              <w:t>远程网络安全评估系统、数据库安全评估工具、Web安全评估工具、</w:t>
            </w:r>
            <w:r>
              <w:rPr>
                <w:rFonts w:hint="eastAsia" w:asciiTheme="minorEastAsia" w:hAnsiTheme="minorEastAsia" w:eastAsiaTheme="minorEastAsia"/>
                <w:b/>
                <w:bCs/>
                <w:color w:val="auto"/>
                <w:sz w:val="24"/>
                <w:szCs w:val="24"/>
              </w:rPr>
              <w:t>网络应用层负载测试设备、网络分析仪、安全配置核查系统、信息安全风险评估管理工具</w:t>
            </w:r>
            <w:r>
              <w:rPr>
                <w:rFonts w:hint="eastAsia" w:asciiTheme="minorEastAsia" w:hAnsiTheme="minorEastAsia" w:eastAsiaTheme="minorEastAsia"/>
                <w:bCs/>
                <w:color w:val="auto"/>
                <w:sz w:val="24"/>
                <w:szCs w:val="24"/>
              </w:rPr>
              <w:t>、信息安全等级保护检查工具箱等。每具备1个</w:t>
            </w:r>
            <w:r>
              <w:rPr>
                <w:rFonts w:asciiTheme="minorEastAsia" w:hAnsiTheme="minorEastAsia" w:eastAsiaTheme="minorEastAsia"/>
                <w:bCs/>
                <w:color w:val="auto"/>
                <w:sz w:val="24"/>
                <w:szCs w:val="24"/>
              </w:rPr>
              <w:t>得</w:t>
            </w:r>
            <w:r>
              <w:rPr>
                <w:rFonts w:hint="eastAsia" w:asciiTheme="minorEastAsia" w:hAnsiTheme="minorEastAsia" w:eastAsiaTheme="minorEastAsia"/>
                <w:bCs/>
                <w:color w:val="auto"/>
                <w:sz w:val="24"/>
                <w:szCs w:val="24"/>
              </w:rPr>
              <w:t>1</w:t>
            </w:r>
            <w:r>
              <w:rPr>
                <w:rFonts w:asciiTheme="minorEastAsia" w:hAnsiTheme="minorEastAsia" w:eastAsiaTheme="minorEastAsia"/>
                <w:bCs/>
                <w:color w:val="auto"/>
                <w:sz w:val="24"/>
                <w:szCs w:val="24"/>
              </w:rPr>
              <w:t>分</w:t>
            </w:r>
            <w:r>
              <w:rPr>
                <w:rFonts w:hint="eastAsia" w:asciiTheme="minorEastAsia" w:hAnsiTheme="minorEastAsia" w:eastAsiaTheme="minorEastAsia"/>
                <w:bCs/>
                <w:color w:val="auto"/>
                <w:sz w:val="24"/>
                <w:szCs w:val="24"/>
              </w:rPr>
              <w:t>，满分8分。</w:t>
            </w:r>
          </w:p>
          <w:p>
            <w:pPr>
              <w:pStyle w:val="4"/>
              <w:rPr>
                <w:rFonts w:ascii="宋体" w:hAnsi="宋体" w:eastAsia="宋体" w:cs="宋体"/>
                <w:color w:val="auto"/>
                <w:sz w:val="24"/>
                <w:lang w:val="en-US"/>
              </w:rPr>
            </w:pPr>
            <w:r>
              <w:rPr>
                <w:rFonts w:hint="eastAsia" w:asciiTheme="minorEastAsia" w:hAnsiTheme="minorEastAsia" w:eastAsiaTheme="minorEastAsia"/>
                <w:b/>
                <w:bCs/>
                <w:color w:val="auto"/>
                <w:sz w:val="24"/>
              </w:rPr>
              <w:t>注：投标文件中提供证明材料（如采购合同或采购发票扫描</w:t>
            </w:r>
            <w:r>
              <w:rPr>
                <w:rFonts w:asciiTheme="minorEastAsia" w:hAnsiTheme="minorEastAsia" w:eastAsiaTheme="minorEastAsia"/>
                <w:b/>
                <w:bCs/>
                <w:color w:val="auto"/>
                <w:sz w:val="24"/>
              </w:rPr>
              <w:t>件</w:t>
            </w:r>
            <w:r>
              <w:rPr>
                <w:rFonts w:hint="eastAsia" w:asciiTheme="minorEastAsia" w:hAnsiTheme="minorEastAsia" w:eastAsiaTheme="minorEastAsia"/>
                <w:b/>
                <w:bCs/>
                <w:color w:val="auto"/>
                <w:sz w:val="24"/>
              </w:rPr>
              <w:t>，</w:t>
            </w:r>
            <w:r>
              <w:rPr>
                <w:rFonts w:asciiTheme="minorEastAsia" w:hAnsiTheme="minorEastAsia" w:eastAsiaTheme="minorEastAsia"/>
                <w:b/>
                <w:bCs/>
                <w:color w:val="auto"/>
                <w:sz w:val="24"/>
              </w:rPr>
              <w:t>以证明属于本单位产权</w:t>
            </w:r>
            <w:r>
              <w:rPr>
                <w:rFonts w:hint="eastAsia" w:asciiTheme="minorEastAsia" w:hAnsiTheme="minorEastAsia" w:eastAsiaTheme="minorEastAsia"/>
                <w:b/>
                <w:bCs/>
                <w:color w:val="auto"/>
                <w:sz w:val="24"/>
              </w:rPr>
              <w:t>）。</w:t>
            </w:r>
          </w:p>
        </w:tc>
        <w:tc>
          <w:tcPr>
            <w:tcW w:w="1100" w:type="dxa"/>
            <w:vAlign w:val="center"/>
          </w:tcPr>
          <w:p>
            <w:pPr>
              <w:spacing w:line="360" w:lineRule="exact"/>
              <w:jc w:val="center"/>
              <w:rPr>
                <w:rFonts w:ascii="宋体" w:hAnsi="宋体"/>
                <w:color w:val="auto"/>
                <w:sz w:val="24"/>
                <w:szCs w:val="24"/>
              </w:rPr>
            </w:pPr>
            <w:r>
              <w:rPr>
                <w:rFonts w:asciiTheme="minorEastAsia" w:hAnsiTheme="minorEastAsia" w:eastAsiaTheme="minorEastAsia"/>
                <w:bCs/>
                <w:color w:val="auto"/>
                <w:sz w:val="24"/>
                <w:szCs w:val="24"/>
              </w:rPr>
              <w:t>0</w:t>
            </w:r>
            <w:r>
              <w:rPr>
                <w:rFonts w:hint="eastAsia" w:ascii="宋体" w:hAnsi="宋体"/>
                <w:color w:val="auto"/>
                <w:sz w:val="24"/>
                <w:szCs w:val="24"/>
              </w:rPr>
              <w:t>-</w:t>
            </w:r>
            <w:r>
              <w:rPr>
                <w:rFonts w:hint="eastAsia" w:asciiTheme="minorEastAsia" w:hAnsiTheme="minorEastAsia" w:eastAsiaTheme="minorEastAsia"/>
                <w:bCs/>
                <w:color w:val="auto"/>
                <w:sz w:val="24"/>
                <w:szCs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5" w:hRule="atLeast"/>
        </w:trPr>
        <w:tc>
          <w:tcPr>
            <w:tcW w:w="1097" w:type="dxa"/>
            <w:vMerge w:val="restart"/>
            <w:tcBorders>
              <w:right w:val="single" w:color="auto" w:sz="4" w:space="0"/>
            </w:tcBorders>
            <w:vAlign w:val="center"/>
          </w:tcPr>
          <w:p>
            <w:pPr>
              <w:spacing w:line="360" w:lineRule="exact"/>
              <w:jc w:val="center"/>
              <w:rPr>
                <w:rFonts w:ascii="宋体" w:hAnsi="宋体"/>
                <w:color w:val="auto"/>
                <w:sz w:val="24"/>
                <w:szCs w:val="24"/>
              </w:rPr>
            </w:pPr>
            <w:r>
              <w:rPr>
                <w:rFonts w:hint="eastAsia" w:ascii="宋体" w:hAnsi="宋体"/>
                <w:color w:val="auto"/>
                <w:sz w:val="24"/>
                <w:szCs w:val="24"/>
              </w:rPr>
              <w:t>资信分</w:t>
            </w:r>
          </w:p>
          <w:p>
            <w:pPr>
              <w:pStyle w:val="53"/>
              <w:ind w:firstLine="0" w:firstLineChars="0"/>
              <w:rPr>
                <w:rFonts w:hAnsi="宋体" w:eastAsia="宋体" w:cs="宋体"/>
                <w:color w:val="auto"/>
                <w:sz w:val="24"/>
                <w:szCs w:val="24"/>
              </w:rPr>
            </w:pPr>
            <w:r>
              <w:rPr>
                <w:rFonts w:hint="eastAsia" w:hAnsi="宋体" w:eastAsia="宋体" w:cs="宋体"/>
                <w:color w:val="auto"/>
                <w:sz w:val="24"/>
                <w:szCs w:val="24"/>
              </w:rPr>
              <w:t>（</w:t>
            </w:r>
            <w:r>
              <w:rPr>
                <w:rFonts w:hAnsi="宋体" w:eastAsia="宋体" w:cs="宋体"/>
                <w:color w:val="auto"/>
                <w:sz w:val="24"/>
                <w:szCs w:val="24"/>
              </w:rPr>
              <w:t>70</w:t>
            </w:r>
            <w:r>
              <w:rPr>
                <w:rFonts w:hint="eastAsia" w:hAnsi="宋体" w:eastAsia="宋体" w:cs="宋体"/>
                <w:color w:val="auto"/>
                <w:sz w:val="24"/>
                <w:szCs w:val="24"/>
              </w:rPr>
              <w:t>分）</w:t>
            </w:r>
          </w:p>
        </w:tc>
        <w:tc>
          <w:tcPr>
            <w:tcW w:w="922" w:type="dxa"/>
            <w:tcBorders>
              <w:top w:val="single" w:color="auto" w:sz="4" w:space="0"/>
              <w:left w:val="single" w:color="auto" w:sz="4" w:space="0"/>
              <w:right w:val="single" w:color="auto" w:sz="4" w:space="0"/>
            </w:tcBorders>
            <w:vAlign w:val="center"/>
          </w:tcPr>
          <w:p>
            <w:pPr>
              <w:spacing w:line="360" w:lineRule="exact"/>
              <w:jc w:val="center"/>
              <w:rPr>
                <w:rFonts w:ascii="宋体" w:hAnsi="宋体"/>
                <w:color w:val="auto"/>
                <w:sz w:val="24"/>
                <w:szCs w:val="24"/>
              </w:rPr>
            </w:pPr>
            <w:r>
              <w:rPr>
                <w:rFonts w:hint="eastAsia" w:ascii="宋体" w:hAnsi="宋体"/>
                <w:color w:val="auto"/>
                <w:sz w:val="24"/>
                <w:szCs w:val="24"/>
              </w:rPr>
              <w:t>供应商</w:t>
            </w:r>
          </w:p>
          <w:p>
            <w:pPr>
              <w:spacing w:line="360" w:lineRule="exact"/>
              <w:jc w:val="center"/>
              <w:rPr>
                <w:rFonts w:ascii="宋体" w:hAnsi="宋体"/>
                <w:color w:val="auto"/>
                <w:sz w:val="24"/>
                <w:szCs w:val="24"/>
              </w:rPr>
            </w:pPr>
            <w:r>
              <w:rPr>
                <w:rFonts w:hint="eastAsia" w:ascii="宋体" w:hAnsi="宋体"/>
                <w:color w:val="auto"/>
                <w:sz w:val="24"/>
                <w:szCs w:val="24"/>
              </w:rPr>
              <w:t>实力与</w:t>
            </w:r>
          </w:p>
          <w:p>
            <w:pPr>
              <w:spacing w:line="360" w:lineRule="exact"/>
              <w:jc w:val="center"/>
              <w:rPr>
                <w:rFonts w:ascii="宋体" w:hAnsi="宋体"/>
                <w:color w:val="auto"/>
                <w:sz w:val="24"/>
                <w:szCs w:val="24"/>
              </w:rPr>
            </w:pPr>
            <w:r>
              <w:rPr>
                <w:rFonts w:hint="eastAsia" w:ascii="宋体" w:hAnsi="宋体"/>
                <w:color w:val="auto"/>
                <w:sz w:val="24"/>
                <w:szCs w:val="24"/>
              </w:rPr>
              <w:t>资质</w:t>
            </w:r>
          </w:p>
        </w:tc>
        <w:tc>
          <w:tcPr>
            <w:tcW w:w="6718" w:type="dxa"/>
            <w:tcBorders>
              <w:left w:val="single" w:color="auto" w:sz="4" w:space="0"/>
            </w:tcBorders>
            <w:vAlign w:val="center"/>
          </w:tcPr>
          <w:p>
            <w:pPr>
              <w:spacing w:line="360" w:lineRule="auto"/>
              <w:rPr>
                <w:rFonts w:ascii="宋体" w:hAnsi="宋体"/>
                <w:color w:val="auto"/>
                <w:sz w:val="24"/>
                <w:szCs w:val="24"/>
                <w:lang w:bidi="ar"/>
              </w:rPr>
            </w:pPr>
            <w:r>
              <w:rPr>
                <w:rFonts w:hint="eastAsia" w:ascii="宋体" w:hAnsi="宋体"/>
                <w:color w:val="auto"/>
                <w:sz w:val="24"/>
                <w:szCs w:val="24"/>
                <w:lang w:bidi="ar"/>
              </w:rPr>
              <w:t>1.2018年1月1日以来，投标人具有能力验证计划结果证书（评价结果满意）的，得5分。</w:t>
            </w:r>
          </w:p>
          <w:p>
            <w:pPr>
              <w:spacing w:line="360" w:lineRule="auto"/>
              <w:rPr>
                <w:rFonts w:ascii="宋体" w:hAnsi="宋体"/>
                <w:color w:val="auto"/>
                <w:sz w:val="24"/>
                <w:szCs w:val="24"/>
                <w:lang w:bidi="ar"/>
              </w:rPr>
            </w:pPr>
            <w:r>
              <w:rPr>
                <w:rFonts w:hint="eastAsia" w:ascii="宋体" w:hAnsi="宋体"/>
                <w:color w:val="auto"/>
                <w:sz w:val="24"/>
                <w:szCs w:val="24"/>
                <w:lang w:bidi="ar"/>
              </w:rPr>
              <w:t>2.投标人具有中国合格评定国家认可委员会实验室认可证书，得5分。</w:t>
            </w:r>
          </w:p>
          <w:p>
            <w:pPr>
              <w:spacing w:line="360" w:lineRule="auto"/>
              <w:rPr>
                <w:rFonts w:ascii="宋体" w:hAnsi="宋体"/>
                <w:b/>
                <w:color w:val="auto"/>
                <w:sz w:val="24"/>
                <w:szCs w:val="24"/>
                <w:lang w:bidi="ar"/>
              </w:rPr>
            </w:pPr>
            <w:r>
              <w:rPr>
                <w:rFonts w:hint="eastAsia" w:ascii="宋体" w:hAnsi="宋体"/>
                <w:b/>
                <w:color w:val="auto"/>
                <w:sz w:val="24"/>
                <w:szCs w:val="24"/>
                <w:lang w:bidi="ar"/>
              </w:rPr>
              <w:t>注：投标文件提供证书扫描件。</w:t>
            </w:r>
          </w:p>
          <w:p>
            <w:pPr>
              <w:spacing w:line="360" w:lineRule="auto"/>
              <w:rPr>
                <w:rFonts w:ascii="宋体" w:hAnsi="宋体"/>
                <w:color w:val="auto"/>
                <w:sz w:val="24"/>
                <w:szCs w:val="24"/>
                <w:lang w:bidi="ar"/>
              </w:rPr>
            </w:pPr>
            <w:r>
              <w:rPr>
                <w:rFonts w:ascii="宋体" w:hAnsi="宋体"/>
                <w:color w:val="auto"/>
                <w:sz w:val="24"/>
                <w:szCs w:val="24"/>
                <w:lang w:bidi="ar"/>
              </w:rPr>
              <w:t>3</w:t>
            </w:r>
            <w:r>
              <w:rPr>
                <w:rFonts w:hint="eastAsia" w:ascii="宋体" w:hAnsi="宋体"/>
                <w:color w:val="auto"/>
                <w:sz w:val="24"/>
                <w:szCs w:val="24"/>
                <w:lang w:bidi="ar"/>
              </w:rPr>
              <w:t xml:space="preserve">.投标人具有国家网络安全等级保护工作协调小组办公室颁发的网络安全等级保护测评机构推荐证书，入围网络安全等级保护网（www.djbh.net）全国等保测评机构推荐目录的，或者提供网络安全等级测评与检测评估机构服务认证证书，得5分。 </w:t>
            </w:r>
          </w:p>
          <w:p>
            <w:pPr>
              <w:spacing w:line="360" w:lineRule="auto"/>
              <w:rPr>
                <w:rFonts w:ascii="宋体" w:hAnsi="宋体"/>
                <w:b/>
                <w:bCs/>
                <w:color w:val="auto"/>
                <w:sz w:val="24"/>
                <w:szCs w:val="24"/>
                <w:lang w:bidi="ar"/>
              </w:rPr>
            </w:pPr>
            <w:r>
              <w:rPr>
                <w:rFonts w:hint="eastAsia" w:ascii="宋体" w:hAnsi="宋体"/>
                <w:b/>
                <w:bCs/>
                <w:color w:val="auto"/>
                <w:sz w:val="24"/>
                <w:szCs w:val="24"/>
                <w:lang w:bidi="ar"/>
              </w:rPr>
              <w:t>注：投标文件提供证书或网站截图。</w:t>
            </w:r>
          </w:p>
          <w:p>
            <w:pPr>
              <w:pStyle w:val="53"/>
              <w:spacing w:line="360" w:lineRule="auto"/>
              <w:ind w:firstLine="0" w:firstLineChars="0"/>
              <w:rPr>
                <w:rFonts w:hAnsi="宋体" w:eastAsia="宋体" w:cs="宋体"/>
                <w:color w:val="auto"/>
                <w:kern w:val="2"/>
                <w:sz w:val="24"/>
                <w:szCs w:val="24"/>
                <w:lang w:bidi="ar"/>
              </w:rPr>
            </w:pPr>
            <w:r>
              <w:rPr>
                <w:rFonts w:hAnsi="宋体" w:eastAsia="宋体" w:cs="宋体"/>
                <w:color w:val="auto"/>
                <w:kern w:val="2"/>
                <w:sz w:val="24"/>
                <w:szCs w:val="24"/>
                <w:lang w:bidi="ar"/>
              </w:rPr>
              <w:t>4.</w:t>
            </w:r>
            <w:r>
              <w:rPr>
                <w:rFonts w:hint="eastAsia" w:hAnsi="宋体" w:eastAsia="宋体" w:cs="宋体"/>
                <w:color w:val="auto"/>
                <w:sz w:val="24"/>
                <w:szCs w:val="24"/>
                <w:lang w:bidi="ar"/>
              </w:rPr>
              <w:t xml:space="preserve"> 投标人</w:t>
            </w:r>
            <w:r>
              <w:rPr>
                <w:rFonts w:hint="eastAsia" w:hAnsi="宋体" w:eastAsia="宋体" w:cs="宋体"/>
                <w:color w:val="auto"/>
                <w:kern w:val="2"/>
                <w:sz w:val="24"/>
                <w:szCs w:val="24"/>
                <w:lang w:bidi="ar"/>
              </w:rPr>
              <w:t>具有中国网络安全审查技术与认证中心（原中国信息安全认证中心）或中国信息安全测评中心颁发的信息安全风险评估服务资质证书，得2分。</w:t>
            </w:r>
          </w:p>
          <w:p>
            <w:pPr>
              <w:pStyle w:val="53"/>
              <w:spacing w:line="360" w:lineRule="auto"/>
              <w:ind w:firstLine="0" w:firstLineChars="0"/>
              <w:rPr>
                <w:rFonts w:hAnsi="宋体" w:eastAsia="宋体" w:cs="宋体"/>
                <w:b/>
                <w:bCs/>
                <w:color w:val="auto"/>
                <w:kern w:val="2"/>
                <w:sz w:val="24"/>
                <w:szCs w:val="24"/>
                <w:lang w:bidi="ar"/>
              </w:rPr>
            </w:pPr>
            <w:r>
              <w:rPr>
                <w:rFonts w:hint="eastAsia" w:hAnsi="宋体" w:eastAsia="宋体" w:cs="宋体"/>
                <w:b/>
                <w:bCs/>
                <w:color w:val="auto"/>
                <w:kern w:val="2"/>
                <w:sz w:val="24"/>
                <w:szCs w:val="24"/>
                <w:lang w:bidi="ar"/>
              </w:rPr>
              <w:t>注</w:t>
            </w:r>
            <w:r>
              <w:rPr>
                <w:rFonts w:hAnsi="宋体" w:eastAsia="宋体" w:cs="宋体"/>
                <w:b/>
                <w:bCs/>
                <w:color w:val="auto"/>
                <w:kern w:val="2"/>
                <w:sz w:val="24"/>
                <w:szCs w:val="24"/>
                <w:lang w:bidi="ar"/>
              </w:rPr>
              <w:t>：</w:t>
            </w:r>
            <w:r>
              <w:rPr>
                <w:rFonts w:hint="eastAsia" w:hAnsi="宋体" w:eastAsia="宋体" w:cs="宋体"/>
                <w:b/>
                <w:bCs/>
                <w:color w:val="auto"/>
                <w:kern w:val="2"/>
                <w:sz w:val="24"/>
                <w:szCs w:val="24"/>
                <w:lang w:bidi="ar"/>
              </w:rPr>
              <w:t>投标文件提供证书扫描件。</w:t>
            </w:r>
          </w:p>
          <w:p>
            <w:pPr>
              <w:pStyle w:val="53"/>
              <w:spacing w:line="360" w:lineRule="auto"/>
              <w:ind w:firstLine="0" w:firstLineChars="0"/>
              <w:rPr>
                <w:rFonts w:hAnsi="宋体" w:eastAsia="宋体" w:cs="宋体"/>
                <w:b/>
                <w:color w:val="auto"/>
                <w:kern w:val="2"/>
                <w:sz w:val="24"/>
                <w:szCs w:val="24"/>
                <w:lang w:bidi="ar"/>
              </w:rPr>
            </w:pPr>
            <w:r>
              <w:rPr>
                <w:rFonts w:hint="eastAsia" w:hAnsi="宋体" w:eastAsia="宋体" w:cs="宋体"/>
                <w:b/>
                <w:color w:val="auto"/>
                <w:kern w:val="2"/>
                <w:sz w:val="24"/>
                <w:szCs w:val="24"/>
                <w:lang w:bidi="ar"/>
              </w:rPr>
              <w:t>5.</w:t>
            </w:r>
            <w:r>
              <w:rPr>
                <w:rFonts w:hAnsi="宋体" w:eastAsia="宋体" w:cs="宋体"/>
                <w:b/>
                <w:color w:val="auto"/>
                <w:kern w:val="2"/>
                <w:sz w:val="24"/>
                <w:szCs w:val="24"/>
                <w:lang w:bidi="ar"/>
              </w:rPr>
              <w:t>投标人为</w:t>
            </w:r>
            <w:r>
              <w:rPr>
                <w:rFonts w:hint="eastAsia" w:hAnsi="宋体" w:eastAsia="宋体" w:cs="宋体"/>
                <w:b/>
                <w:color w:val="auto"/>
                <w:kern w:val="2"/>
                <w:sz w:val="24"/>
                <w:szCs w:val="24"/>
                <w:lang w:bidi="ar"/>
              </w:rPr>
              <w:t>中国网络安全审查技术与认证中心信息安全服务资质认证和管理体系认证合作机构的，</w:t>
            </w:r>
            <w:r>
              <w:rPr>
                <w:rFonts w:hAnsi="宋体" w:eastAsia="宋体" w:cs="宋体"/>
                <w:b/>
                <w:color w:val="auto"/>
                <w:kern w:val="2"/>
                <w:sz w:val="24"/>
                <w:szCs w:val="24"/>
                <w:lang w:bidi="ar"/>
              </w:rPr>
              <w:t>得3分</w:t>
            </w:r>
            <w:r>
              <w:rPr>
                <w:rFonts w:hint="eastAsia" w:hAnsi="宋体" w:eastAsia="宋体" w:cs="宋体"/>
                <w:b/>
                <w:color w:val="auto"/>
                <w:kern w:val="2"/>
                <w:sz w:val="24"/>
                <w:szCs w:val="24"/>
                <w:lang w:bidi="ar"/>
              </w:rPr>
              <w:t>；</w:t>
            </w:r>
          </w:p>
          <w:p>
            <w:pPr>
              <w:spacing w:line="360" w:lineRule="auto"/>
              <w:rPr>
                <w:color w:val="auto"/>
                <w:lang w:bidi="ar"/>
              </w:rPr>
            </w:pPr>
            <w:r>
              <w:rPr>
                <w:rFonts w:hint="eastAsia" w:asciiTheme="minorEastAsia" w:hAnsiTheme="minorEastAsia" w:eastAsiaTheme="minorEastAsia"/>
                <w:b/>
                <w:bCs/>
                <w:color w:val="auto"/>
                <w:sz w:val="24"/>
                <w:szCs w:val="24"/>
              </w:rPr>
              <w:t>注：</w:t>
            </w:r>
            <w:r>
              <w:rPr>
                <w:rFonts w:hint="eastAsia" w:ascii="宋体" w:hAnsi="宋体"/>
                <w:b/>
                <w:bCs/>
                <w:color w:val="auto"/>
                <w:sz w:val="24"/>
                <w:szCs w:val="24"/>
                <w:lang w:bidi="ar"/>
              </w:rPr>
              <w:t>须提</w:t>
            </w:r>
            <w:r>
              <w:rPr>
                <w:rFonts w:hint="eastAsia" w:asciiTheme="minorEastAsia" w:hAnsiTheme="minorEastAsia" w:eastAsiaTheme="minorEastAsia"/>
                <w:b/>
                <w:bCs/>
                <w:color w:val="auto"/>
                <w:sz w:val="24"/>
                <w:szCs w:val="24"/>
              </w:rPr>
              <w:t>供颁发单位证书、网上公示截图、合作协议或授权协议（具有其中之一即可）等证明材料。</w:t>
            </w:r>
          </w:p>
          <w:p>
            <w:pPr>
              <w:spacing w:line="360" w:lineRule="auto"/>
              <w:rPr>
                <w:rFonts w:ascii="宋体" w:hAnsi="宋体"/>
                <w:color w:val="auto"/>
                <w:sz w:val="24"/>
                <w:szCs w:val="24"/>
                <w:lang w:bidi="ar"/>
              </w:rPr>
            </w:pPr>
            <w:r>
              <w:rPr>
                <w:rFonts w:hint="eastAsia" w:ascii="宋体" w:hAnsi="宋体"/>
                <w:color w:val="auto"/>
                <w:sz w:val="24"/>
                <w:szCs w:val="24"/>
                <w:lang w:bidi="ar"/>
              </w:rPr>
              <w:t>6.2018年1月1日以来（以合同签订时间为准），投标人具有省级及以上党政机关或事业单位委托的三级等保测评服务业绩，每提供一个得3分，满分15分。</w:t>
            </w:r>
          </w:p>
          <w:p>
            <w:pPr>
              <w:pStyle w:val="53"/>
              <w:spacing w:line="360" w:lineRule="auto"/>
              <w:ind w:firstLine="0" w:firstLineChars="0"/>
              <w:rPr>
                <w:rFonts w:eastAsia="宋体"/>
                <w:color w:val="auto"/>
                <w:lang w:bidi="ar"/>
              </w:rPr>
            </w:pPr>
            <w:r>
              <w:rPr>
                <w:rFonts w:hint="eastAsia" w:hAnsi="宋体" w:eastAsia="宋体" w:cs="宋体"/>
                <w:b/>
                <w:bCs/>
                <w:color w:val="auto"/>
                <w:sz w:val="24"/>
                <w:szCs w:val="24"/>
                <w:lang w:bidi="ar"/>
              </w:rPr>
              <w:t>注：</w:t>
            </w:r>
            <w:r>
              <w:rPr>
                <w:rFonts w:hint="eastAsia" w:hAnsi="宋体" w:eastAsia="宋体" w:cs="宋体"/>
                <w:b/>
                <w:bCs/>
                <w:color w:val="auto"/>
                <w:sz w:val="24"/>
                <w:szCs w:val="24"/>
              </w:rPr>
              <w:t>投文件提供合同扫描件和报告签字页，如合同无法体现签订时间、服务内容等关键评审因素，须另附业主盖章的相关证明材料扫描件或影印件。</w:t>
            </w:r>
          </w:p>
        </w:tc>
        <w:tc>
          <w:tcPr>
            <w:tcW w:w="1100" w:type="dxa"/>
            <w:vAlign w:val="center"/>
          </w:tcPr>
          <w:p>
            <w:pPr>
              <w:spacing w:line="360" w:lineRule="exact"/>
              <w:jc w:val="center"/>
              <w:rPr>
                <w:rFonts w:ascii="宋体" w:hAnsi="宋体"/>
                <w:color w:val="auto"/>
                <w:sz w:val="24"/>
                <w:szCs w:val="24"/>
              </w:rPr>
            </w:pPr>
            <w:r>
              <w:rPr>
                <w:rFonts w:hint="eastAsia" w:ascii="宋体" w:hAnsi="宋体"/>
                <w:color w:val="auto"/>
                <w:sz w:val="24"/>
                <w:szCs w:val="24"/>
              </w:rPr>
              <w:t>0-</w:t>
            </w:r>
            <w:r>
              <w:rPr>
                <w:rFonts w:ascii="宋体" w:hAnsi="宋体"/>
                <w:color w:val="auto"/>
                <w:sz w:val="24"/>
                <w:szCs w:val="24"/>
              </w:rPr>
              <w:t>3</w:t>
            </w:r>
            <w:r>
              <w:rPr>
                <w:rFonts w:hint="eastAsia" w:ascii="宋体" w:hAnsi="宋体"/>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97" w:type="dxa"/>
            <w:vMerge w:val="continue"/>
            <w:tcBorders>
              <w:right w:val="single" w:color="auto" w:sz="4" w:space="0"/>
            </w:tcBorders>
            <w:vAlign w:val="center"/>
          </w:tcPr>
          <w:p>
            <w:pPr>
              <w:spacing w:line="360" w:lineRule="exact"/>
              <w:jc w:val="center"/>
              <w:rPr>
                <w:rFonts w:ascii="宋体" w:hAnsi="宋体"/>
                <w:color w:val="auto"/>
                <w:sz w:val="24"/>
                <w:szCs w:val="24"/>
              </w:rPr>
            </w:pPr>
          </w:p>
        </w:tc>
        <w:tc>
          <w:tcPr>
            <w:tcW w:w="922" w:type="dxa"/>
            <w:vAlign w:val="center"/>
          </w:tcPr>
          <w:p>
            <w:pPr>
              <w:rPr>
                <w:rFonts w:ascii="宋体" w:hAnsi="宋体"/>
                <w:color w:val="auto"/>
                <w:sz w:val="24"/>
                <w:szCs w:val="24"/>
              </w:rPr>
            </w:pPr>
            <w:r>
              <w:rPr>
                <w:rFonts w:hint="eastAsia" w:ascii="宋体" w:hAnsi="宋体"/>
                <w:color w:val="auto"/>
                <w:sz w:val="24"/>
                <w:szCs w:val="24"/>
              </w:rPr>
              <w:t>项目人员配备</w:t>
            </w:r>
          </w:p>
        </w:tc>
        <w:tc>
          <w:tcPr>
            <w:tcW w:w="6718" w:type="dxa"/>
            <w:vAlign w:val="center"/>
          </w:tcPr>
          <w:p>
            <w:pPr>
              <w:spacing w:line="360" w:lineRule="auto"/>
              <w:rPr>
                <w:rFonts w:ascii="宋体" w:hAnsi="宋体"/>
                <w:color w:val="auto"/>
                <w:sz w:val="24"/>
                <w:szCs w:val="24"/>
                <w:lang w:bidi="ar"/>
              </w:rPr>
            </w:pPr>
            <w:r>
              <w:rPr>
                <w:rFonts w:hint="eastAsia" w:ascii="宋体" w:hAnsi="宋体"/>
                <w:color w:val="auto"/>
                <w:sz w:val="24"/>
                <w:szCs w:val="24"/>
                <w:lang w:bidi="ar"/>
              </w:rPr>
              <w:t>1.投标人为本项目配备的项目经理具具有信息安全等级测评师（高级）证书，</w:t>
            </w:r>
            <w:r>
              <w:rPr>
                <w:rFonts w:ascii="宋体" w:hAnsi="宋体"/>
                <w:color w:val="auto"/>
                <w:sz w:val="24"/>
                <w:szCs w:val="24"/>
                <w:lang w:bidi="ar"/>
              </w:rPr>
              <w:t>且具有</w:t>
            </w:r>
            <w:r>
              <w:rPr>
                <w:rFonts w:hint="eastAsia" w:ascii="宋体" w:hAnsi="宋体"/>
                <w:color w:val="auto"/>
                <w:sz w:val="24"/>
                <w:szCs w:val="24"/>
                <w:lang w:bidi="ar"/>
              </w:rPr>
              <w:t>计算机技术与软件专业技术资格（水平）的信息系统项目管理师证书的，得5分。</w:t>
            </w:r>
          </w:p>
          <w:p>
            <w:pPr>
              <w:spacing w:line="360" w:lineRule="auto"/>
              <w:rPr>
                <w:rFonts w:ascii="宋体" w:hAnsi="宋体"/>
                <w:b/>
                <w:color w:val="auto"/>
                <w:sz w:val="24"/>
                <w:szCs w:val="24"/>
                <w:lang w:bidi="ar"/>
              </w:rPr>
            </w:pPr>
            <w:r>
              <w:rPr>
                <w:rFonts w:hint="eastAsia" w:ascii="宋体" w:hAnsi="宋体"/>
                <w:b/>
                <w:color w:val="auto"/>
                <w:sz w:val="24"/>
                <w:szCs w:val="24"/>
                <w:lang w:bidi="ar"/>
              </w:rPr>
              <w:t>2.投标人为本项目配备的质量负责人具有信息安全等级测评师（中级及以上）证书，且具有人社部门颁发的电子信息类高级工程师证书的，得5分。</w:t>
            </w:r>
          </w:p>
          <w:p>
            <w:pPr>
              <w:spacing w:line="360" w:lineRule="auto"/>
              <w:rPr>
                <w:rFonts w:ascii="宋体" w:hAnsi="宋体"/>
                <w:color w:val="auto"/>
                <w:sz w:val="24"/>
                <w:szCs w:val="24"/>
                <w:lang w:bidi="ar"/>
              </w:rPr>
            </w:pPr>
            <w:r>
              <w:rPr>
                <w:rFonts w:hint="eastAsia" w:ascii="宋体" w:hAnsi="宋体"/>
                <w:color w:val="auto"/>
                <w:sz w:val="24"/>
                <w:szCs w:val="24"/>
                <w:lang w:bidi="ar"/>
              </w:rPr>
              <w:t>3.除项目经理、质量负责人外，投标人为本项目配备的项目测评人员具有信息安全等级测评师证书（中级及以上），每人得5分，满分10分。</w:t>
            </w:r>
            <w:r>
              <w:rPr>
                <w:rFonts w:hint="eastAsia" w:ascii="宋体" w:hAnsi="宋体"/>
                <w:color w:val="auto"/>
                <w:sz w:val="24"/>
                <w:szCs w:val="24"/>
                <w:lang w:bidi="ar"/>
              </w:rPr>
              <w:br w:type="textWrapping"/>
            </w:r>
            <w:r>
              <w:rPr>
                <w:rFonts w:hint="eastAsia" w:ascii="宋体" w:hAnsi="宋体"/>
                <w:color w:val="auto"/>
                <w:sz w:val="24"/>
                <w:szCs w:val="24"/>
                <w:lang w:bidi="ar"/>
              </w:rPr>
              <w:t>4.投标人为本项目配备的项目测评</w:t>
            </w:r>
            <w:r>
              <w:rPr>
                <w:rFonts w:ascii="宋体" w:hAnsi="宋体"/>
                <w:color w:val="auto"/>
                <w:sz w:val="24"/>
                <w:szCs w:val="24"/>
                <w:lang w:bidi="ar"/>
              </w:rPr>
              <w:t>人员</w:t>
            </w:r>
            <w:r>
              <w:rPr>
                <w:rFonts w:hint="eastAsia" w:ascii="宋体" w:hAnsi="宋体"/>
                <w:color w:val="auto"/>
                <w:sz w:val="24"/>
                <w:szCs w:val="24"/>
                <w:lang w:bidi="ar"/>
              </w:rPr>
              <w:t>具有中国网络安全审查技术与认证中心（原中国信息安全认证中心）颁发的信息安全保障人员认证(CISAW)类证书、中国信息安全测评中心颁发的CISP证书，中关村信息安全测评联盟颁发的国家网络安全应用检测专业测评人员（</w:t>
            </w:r>
            <w:r>
              <w:rPr>
                <w:rFonts w:ascii="宋体" w:hAnsi="宋体"/>
                <w:color w:val="auto"/>
                <w:sz w:val="24"/>
                <w:szCs w:val="24"/>
                <w:lang w:bidi="ar"/>
              </w:rPr>
              <w:t>NSATP-</w:t>
            </w:r>
            <w:r>
              <w:rPr>
                <w:rFonts w:hint="eastAsia" w:ascii="宋体" w:hAnsi="宋体"/>
                <w:color w:val="auto"/>
                <w:sz w:val="24"/>
                <w:szCs w:val="24"/>
                <w:lang w:bidi="ar"/>
              </w:rPr>
              <w:t xml:space="preserve">A）证书、计算机技术与软件专业技术资格（水平）的网络工程师、计算机技术与软件专业技术资格（水平）的软件评测师证书。每提供一类证书得5分，一人不能重复得分，最高得15分。 </w:t>
            </w:r>
          </w:p>
          <w:p>
            <w:pPr>
              <w:pStyle w:val="21"/>
              <w:spacing w:before="0" w:beforeAutospacing="0" w:after="0" w:afterAutospacing="0" w:line="360" w:lineRule="auto"/>
              <w:jc w:val="both"/>
              <w:rPr>
                <w:color w:val="auto"/>
                <w:lang w:bidi="ar"/>
              </w:rPr>
            </w:pPr>
            <w:r>
              <w:rPr>
                <w:rFonts w:hint="eastAsia"/>
                <w:b/>
                <w:bCs/>
                <w:color w:val="auto"/>
                <w:lang w:bidi="ar"/>
              </w:rPr>
              <w:t>注：</w:t>
            </w:r>
            <w:r>
              <w:rPr>
                <w:rFonts w:hint="eastAsia"/>
                <w:b/>
                <w:bCs/>
                <w:color w:val="auto"/>
              </w:rPr>
              <w:t>投标文件中提供上述人员名单、相关证书以及为其缴纳的近三个月内（任意一个月）社保证明材料的扫描件或影印件</w:t>
            </w:r>
            <w:r>
              <w:rPr>
                <w:rFonts w:hint="eastAsia"/>
                <w:color w:val="auto"/>
                <w:lang w:bidi="ar"/>
              </w:rPr>
              <w:t xml:space="preserve"> </w:t>
            </w:r>
          </w:p>
        </w:tc>
        <w:tc>
          <w:tcPr>
            <w:tcW w:w="1100" w:type="dxa"/>
            <w:vAlign w:val="center"/>
          </w:tcPr>
          <w:p>
            <w:pPr>
              <w:spacing w:line="360" w:lineRule="exact"/>
              <w:jc w:val="center"/>
              <w:rPr>
                <w:rFonts w:ascii="宋体" w:hAnsi="宋体"/>
                <w:color w:val="auto"/>
                <w:sz w:val="24"/>
                <w:szCs w:val="24"/>
              </w:rPr>
            </w:pPr>
            <w:r>
              <w:rPr>
                <w:rFonts w:hint="eastAsia" w:ascii="宋体" w:hAnsi="宋体"/>
                <w:color w:val="auto"/>
                <w:sz w:val="24"/>
                <w:szCs w:val="24"/>
              </w:rPr>
              <w:t>0-</w:t>
            </w:r>
            <w:r>
              <w:rPr>
                <w:rFonts w:ascii="宋体" w:hAnsi="宋体"/>
                <w:color w:val="auto"/>
                <w:sz w:val="24"/>
                <w:szCs w:val="24"/>
              </w:rPr>
              <w:t>3</w:t>
            </w:r>
            <w:r>
              <w:rPr>
                <w:rFonts w:hint="eastAsia" w:ascii="宋体" w:hAnsi="宋体"/>
                <w:color w:val="auto"/>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trPr>
        <w:tc>
          <w:tcPr>
            <w:tcW w:w="1097" w:type="dxa"/>
            <w:vAlign w:val="center"/>
          </w:tcPr>
          <w:p>
            <w:pPr>
              <w:spacing w:line="360" w:lineRule="exact"/>
              <w:jc w:val="center"/>
              <w:rPr>
                <w:rFonts w:ascii="宋体" w:hAnsi="宋体"/>
                <w:color w:val="auto"/>
                <w:sz w:val="24"/>
                <w:szCs w:val="24"/>
              </w:rPr>
            </w:pPr>
            <w:r>
              <w:rPr>
                <w:rFonts w:hint="eastAsia" w:ascii="宋体" w:hAnsi="宋体"/>
                <w:color w:val="auto"/>
                <w:sz w:val="24"/>
                <w:szCs w:val="24"/>
              </w:rPr>
              <w:t>价格分</w:t>
            </w:r>
          </w:p>
          <w:p>
            <w:pPr>
              <w:pStyle w:val="53"/>
              <w:ind w:firstLine="0" w:firstLineChars="0"/>
              <w:rPr>
                <w:rFonts w:hAnsi="宋体" w:eastAsia="宋体" w:cs="宋体"/>
                <w:color w:val="auto"/>
                <w:sz w:val="24"/>
                <w:szCs w:val="24"/>
              </w:rPr>
            </w:pPr>
            <w:r>
              <w:rPr>
                <w:rFonts w:hint="eastAsia" w:hAnsi="宋体" w:eastAsia="宋体" w:cs="宋体"/>
                <w:color w:val="auto"/>
                <w:sz w:val="24"/>
                <w:szCs w:val="24"/>
              </w:rPr>
              <w:t>（</w:t>
            </w:r>
            <w:r>
              <w:rPr>
                <w:rFonts w:hAnsi="宋体" w:eastAsia="宋体" w:cs="宋体"/>
                <w:color w:val="auto"/>
                <w:sz w:val="24"/>
                <w:szCs w:val="24"/>
              </w:rPr>
              <w:t>10</w:t>
            </w:r>
            <w:r>
              <w:rPr>
                <w:rFonts w:hint="eastAsia" w:hAnsi="宋体" w:eastAsia="宋体" w:cs="宋体"/>
                <w:color w:val="auto"/>
                <w:sz w:val="24"/>
                <w:szCs w:val="24"/>
              </w:rPr>
              <w:t>分）</w:t>
            </w:r>
          </w:p>
        </w:tc>
        <w:tc>
          <w:tcPr>
            <w:tcW w:w="7640" w:type="dxa"/>
            <w:gridSpan w:val="2"/>
            <w:tcBorders>
              <w:top w:val="single" w:color="auto" w:sz="4" w:space="0"/>
              <w:bottom w:val="single" w:color="auto" w:sz="4" w:space="0"/>
            </w:tcBorders>
            <w:vAlign w:val="center"/>
          </w:tcPr>
          <w:p>
            <w:pPr>
              <w:spacing w:line="360" w:lineRule="exact"/>
              <w:rPr>
                <w:rFonts w:ascii="宋体" w:hAnsi="宋体"/>
                <w:color w:val="auto"/>
                <w:sz w:val="24"/>
                <w:szCs w:val="24"/>
              </w:rPr>
            </w:pPr>
            <w:r>
              <w:rPr>
                <w:rFonts w:hint="eastAsia" w:ascii="宋体" w:hAnsi="宋体"/>
                <w:color w:val="auto"/>
                <w:sz w:val="24"/>
                <w:szCs w:val="24"/>
              </w:rPr>
              <w:t>价格分统一采用低价优先法，即满足磋商文件要求且投标价格最低的投标报价为评标基准价，其价格分为满分</w:t>
            </w:r>
            <w:r>
              <w:rPr>
                <w:rFonts w:ascii="宋体" w:hAnsi="宋体"/>
                <w:color w:val="auto"/>
                <w:sz w:val="24"/>
                <w:szCs w:val="24"/>
              </w:rPr>
              <w:t>1</w:t>
            </w:r>
            <w:r>
              <w:rPr>
                <w:rFonts w:hint="eastAsia" w:ascii="宋体" w:hAnsi="宋体"/>
                <w:color w:val="auto"/>
                <w:sz w:val="24"/>
                <w:szCs w:val="24"/>
              </w:rPr>
              <w:t>0分。其他供应商的价格分统一按照下列公式计算：投标报价得分＝（评标基准价/投标报价）×</w:t>
            </w:r>
            <w:r>
              <w:rPr>
                <w:rFonts w:ascii="宋体" w:hAnsi="宋体"/>
                <w:color w:val="auto"/>
                <w:sz w:val="24"/>
                <w:szCs w:val="24"/>
              </w:rPr>
              <w:t>10</w:t>
            </w:r>
            <w:r>
              <w:rPr>
                <w:rFonts w:hint="eastAsia" w:ascii="宋体" w:hAnsi="宋体"/>
                <w:color w:val="auto"/>
                <w:sz w:val="24"/>
                <w:szCs w:val="24"/>
              </w:rPr>
              <w:t>％×100</w:t>
            </w:r>
          </w:p>
        </w:tc>
        <w:tc>
          <w:tcPr>
            <w:tcW w:w="1100" w:type="dxa"/>
            <w:tcBorders>
              <w:top w:val="single" w:color="auto" w:sz="4" w:space="0"/>
              <w:bottom w:val="single" w:color="auto" w:sz="4" w:space="0"/>
            </w:tcBorders>
            <w:vAlign w:val="center"/>
          </w:tcPr>
          <w:p>
            <w:pPr>
              <w:spacing w:line="360" w:lineRule="exact"/>
              <w:jc w:val="center"/>
              <w:rPr>
                <w:rFonts w:ascii="宋体" w:hAnsi="宋体"/>
                <w:color w:val="auto"/>
                <w:sz w:val="24"/>
                <w:szCs w:val="24"/>
              </w:rPr>
            </w:pPr>
            <w:r>
              <w:rPr>
                <w:rFonts w:hint="eastAsia" w:ascii="宋体" w:hAnsi="宋体"/>
                <w:color w:val="auto"/>
                <w:sz w:val="24"/>
                <w:szCs w:val="24"/>
              </w:rPr>
              <w:t>0-</w:t>
            </w:r>
            <w:r>
              <w:rPr>
                <w:rFonts w:ascii="宋体" w:hAnsi="宋体"/>
                <w:color w:val="auto"/>
                <w:sz w:val="24"/>
                <w:szCs w:val="24"/>
              </w:rPr>
              <w:t>10</w:t>
            </w:r>
            <w:r>
              <w:rPr>
                <w:rFonts w:hint="eastAsia" w:ascii="宋体" w:hAnsi="宋体"/>
                <w:color w:val="auto"/>
                <w:sz w:val="24"/>
                <w:szCs w:val="24"/>
              </w:rPr>
              <w:t>分</w:t>
            </w:r>
          </w:p>
        </w:tc>
      </w:tr>
    </w:tbl>
    <w:p>
      <w:pPr>
        <w:pStyle w:val="50"/>
        <w:wordWrap w:val="0"/>
        <w:adjustRightInd/>
        <w:ind w:firstLine="482" w:firstLineChars="200"/>
        <w:jc w:val="both"/>
        <w:rPr>
          <w:b/>
        </w:rPr>
      </w:pPr>
      <w:r>
        <w:rPr>
          <w:rFonts w:hint="eastAsia"/>
          <w:b/>
        </w:rPr>
        <w:t>注：</w:t>
      </w:r>
    </w:p>
    <w:p>
      <w:pPr>
        <w:pStyle w:val="50"/>
        <w:wordWrap w:val="0"/>
        <w:adjustRightInd/>
        <w:ind w:firstLine="482" w:firstLineChars="200"/>
        <w:jc w:val="both"/>
        <w:rPr>
          <w:b/>
        </w:rPr>
      </w:pPr>
      <w:r>
        <w:rPr>
          <w:rFonts w:hint="eastAsia"/>
          <w:b/>
        </w:rPr>
        <w:t>①以上证明资料须提供复印件并加盖投标人公章放入投标文件中，否则不得分。</w:t>
      </w:r>
    </w:p>
    <w:p>
      <w:pPr>
        <w:pStyle w:val="50"/>
        <w:wordWrap w:val="0"/>
        <w:adjustRightInd/>
        <w:ind w:firstLine="482" w:firstLineChars="200"/>
        <w:jc w:val="both"/>
        <w:rPr>
          <w:b/>
        </w:rPr>
      </w:pPr>
      <w:r>
        <w:rPr>
          <w:rFonts w:hint="eastAsia"/>
          <w:b/>
        </w:rPr>
        <w:t>②评标委员会成员按照上述评分细则中的每项内容单独评审打分。</w:t>
      </w:r>
    </w:p>
    <w:p>
      <w:pPr>
        <w:pStyle w:val="50"/>
        <w:wordWrap w:val="0"/>
        <w:adjustRightInd/>
        <w:ind w:firstLine="482" w:firstLineChars="200"/>
        <w:jc w:val="both"/>
        <w:rPr>
          <w:b/>
        </w:rPr>
      </w:pPr>
      <w:r>
        <w:rPr>
          <w:rFonts w:hint="eastAsia"/>
          <w:b/>
        </w:rPr>
        <w:t>③投标人技术标的最终得分计算方法为：取所有评委评分的算术平均值为投标人技术标的最终得分，小数点后保留两位小数，第三位四舍五入。</w:t>
      </w:r>
    </w:p>
    <w:p>
      <w:pPr>
        <w:rPr>
          <w:b/>
        </w:rPr>
      </w:pPr>
    </w:p>
    <w:p>
      <w:pPr>
        <w:pStyle w:val="41"/>
        <w:numPr>
          <w:ilvl w:val="0"/>
          <w:numId w:val="2"/>
        </w:numPr>
        <w:ind w:firstLineChars="0"/>
        <w:rPr>
          <w:rFonts w:ascii="黑体" w:hAnsi="黑体" w:eastAsia="黑体"/>
          <w:sz w:val="32"/>
          <w:szCs w:val="32"/>
        </w:rPr>
      </w:pPr>
      <w:r>
        <w:rPr>
          <w:rFonts w:hint="eastAsia" w:ascii="黑体" w:hAnsi="黑体" w:eastAsia="黑体"/>
          <w:sz w:val="32"/>
          <w:szCs w:val="32"/>
        </w:rPr>
        <w:t>其他事项说明</w:t>
      </w:r>
    </w:p>
    <w:p>
      <w:pPr>
        <w:pStyle w:val="41"/>
        <w:ind w:firstLine="640"/>
        <w:rPr>
          <w:rFonts w:ascii="仿宋_GB2312" w:hAnsi="黑体" w:eastAsia="仿宋_GB2312"/>
          <w:color w:val="000000"/>
          <w:sz w:val="32"/>
          <w:szCs w:val="32"/>
        </w:rPr>
      </w:pPr>
      <w:r>
        <w:rPr>
          <w:rFonts w:hint="eastAsia" w:ascii="仿宋_GB2312" w:hAnsi="黑体" w:eastAsia="仿宋_GB2312"/>
          <w:color w:val="000000"/>
          <w:sz w:val="32"/>
          <w:szCs w:val="32"/>
        </w:rPr>
        <w:t>供应商须</w:t>
      </w:r>
      <w:r>
        <w:rPr>
          <w:rFonts w:hint="eastAsia" w:ascii="仿宋_GB2312" w:hAnsi="黑体" w:eastAsia="仿宋_GB2312"/>
          <w:color w:val="000000"/>
          <w:sz w:val="32"/>
          <w:szCs w:val="32"/>
          <w:highlight w:val="none"/>
        </w:rPr>
        <w:t>在202</w:t>
      </w:r>
      <w:r>
        <w:rPr>
          <w:rFonts w:hint="eastAsia" w:ascii="仿宋_GB2312" w:hAnsi="黑体" w:eastAsia="仿宋_GB2312"/>
          <w:color w:val="000000"/>
          <w:sz w:val="32"/>
          <w:szCs w:val="32"/>
          <w:highlight w:val="none"/>
          <w:lang w:val="en-US" w:eastAsia="zh-CN"/>
        </w:rPr>
        <w:t>2</w:t>
      </w:r>
      <w:r>
        <w:rPr>
          <w:rFonts w:hint="eastAsia" w:ascii="仿宋_GB2312" w:hAnsi="黑体" w:eastAsia="仿宋_GB2312"/>
          <w:color w:val="000000"/>
          <w:sz w:val="32"/>
          <w:szCs w:val="32"/>
          <w:highlight w:val="none"/>
        </w:rPr>
        <w:t>年</w:t>
      </w:r>
      <w:r>
        <w:rPr>
          <w:rFonts w:hint="eastAsia" w:ascii="仿宋_GB2312" w:hAnsi="黑体" w:eastAsia="仿宋_GB2312"/>
          <w:color w:val="000000"/>
          <w:sz w:val="32"/>
          <w:szCs w:val="32"/>
          <w:highlight w:val="none"/>
          <w:lang w:val="en-US" w:eastAsia="zh-CN"/>
        </w:rPr>
        <w:t>1</w:t>
      </w:r>
      <w:r>
        <w:rPr>
          <w:rFonts w:hint="eastAsia" w:ascii="仿宋_GB2312" w:hAnsi="黑体" w:eastAsia="仿宋_GB2312"/>
          <w:color w:val="000000"/>
          <w:sz w:val="32"/>
          <w:szCs w:val="32"/>
          <w:highlight w:val="none"/>
        </w:rPr>
        <w:t>月</w:t>
      </w:r>
      <w:r>
        <w:rPr>
          <w:rFonts w:hint="eastAsia" w:ascii="仿宋_GB2312" w:hAnsi="黑体" w:eastAsia="仿宋_GB2312"/>
          <w:color w:val="000000"/>
          <w:sz w:val="32"/>
          <w:szCs w:val="32"/>
          <w:highlight w:val="none"/>
          <w:lang w:val="en-US" w:eastAsia="zh-CN"/>
        </w:rPr>
        <w:t>17</w:t>
      </w:r>
      <w:r>
        <w:rPr>
          <w:rFonts w:hint="eastAsia" w:ascii="仿宋_GB2312" w:hAnsi="黑体" w:eastAsia="仿宋_GB2312"/>
          <w:color w:val="000000"/>
          <w:sz w:val="32"/>
          <w:szCs w:val="32"/>
          <w:highlight w:val="none"/>
        </w:rPr>
        <w:t>日</w:t>
      </w:r>
      <w:r>
        <w:rPr>
          <w:rFonts w:hint="eastAsia" w:ascii="仿宋_GB2312" w:hAnsi="黑体" w:eastAsia="仿宋_GB2312"/>
          <w:color w:val="000000"/>
          <w:sz w:val="32"/>
          <w:szCs w:val="32"/>
          <w:highlight w:val="none"/>
          <w:lang w:val="en-US" w:eastAsia="zh-CN"/>
        </w:rPr>
        <w:t>17</w:t>
      </w:r>
      <w:r>
        <w:rPr>
          <w:rFonts w:hint="eastAsia" w:ascii="仿宋_GB2312" w:hAnsi="黑体" w:eastAsia="仿宋_GB2312"/>
          <w:color w:val="000000"/>
          <w:sz w:val="32"/>
          <w:szCs w:val="32"/>
          <w:highlight w:val="none"/>
        </w:rPr>
        <w:t>:00前将所有响应材料纸质封印，邮寄或送至我司，逾期响应无效。合同签订后，供应商</w:t>
      </w:r>
      <w:r>
        <w:rPr>
          <w:rFonts w:ascii="仿宋_GB2312" w:hAnsi="黑体" w:eastAsia="仿宋_GB2312"/>
          <w:color w:val="000000"/>
          <w:sz w:val="32"/>
          <w:szCs w:val="32"/>
          <w:highlight w:val="none"/>
        </w:rPr>
        <w:t>5个工作日内进场开展测评工作，</w:t>
      </w:r>
      <w:r>
        <w:rPr>
          <w:rFonts w:hint="eastAsia" w:ascii="仿宋_GB2312" w:hAnsi="黑体" w:eastAsia="仿宋_GB2312"/>
          <w:color w:val="000000"/>
          <w:sz w:val="32"/>
          <w:szCs w:val="32"/>
          <w:highlight w:val="none"/>
          <w:lang w:val="en-US" w:eastAsia="zh-CN"/>
        </w:rPr>
        <w:t>60</w:t>
      </w:r>
      <w:r>
        <w:rPr>
          <w:rFonts w:ascii="仿宋_GB2312" w:hAnsi="黑体" w:eastAsia="仿宋_GB2312"/>
          <w:color w:val="000000"/>
          <w:sz w:val="32"/>
          <w:szCs w:val="32"/>
          <w:highlight w:val="none"/>
        </w:rPr>
        <w:t>日</w:t>
      </w:r>
      <w:r>
        <w:rPr>
          <w:rFonts w:ascii="仿宋_GB2312" w:hAnsi="黑体" w:eastAsia="仿宋_GB2312"/>
          <w:color w:val="000000"/>
          <w:sz w:val="32"/>
          <w:szCs w:val="32"/>
        </w:rPr>
        <w:t>内交付测评结果。</w:t>
      </w:r>
    </w:p>
    <w:p>
      <w:pPr>
        <w:pStyle w:val="41"/>
        <w:numPr>
          <w:ilvl w:val="0"/>
          <w:numId w:val="2"/>
        </w:numPr>
        <w:ind w:firstLineChars="0"/>
        <w:rPr>
          <w:rFonts w:ascii="黑体" w:hAnsi="黑体" w:eastAsia="黑体"/>
          <w:sz w:val="32"/>
          <w:szCs w:val="32"/>
        </w:rPr>
      </w:pPr>
      <w:r>
        <w:rPr>
          <w:rFonts w:hint="eastAsia" w:ascii="黑体" w:hAnsi="黑体" w:eastAsia="黑体" w:cs="Calibri"/>
          <w:color w:val="000000"/>
          <w:kern w:val="0"/>
          <w:sz w:val="32"/>
          <w:szCs w:val="32"/>
          <w:shd w:val="clear" w:color="auto" w:fill="FFFFFF"/>
        </w:rPr>
        <w:t>供应商报价</w:t>
      </w:r>
      <w:r>
        <w:rPr>
          <w:rFonts w:hint="eastAsia" w:ascii="黑体" w:hAnsi="黑体" w:eastAsia="黑体" w:cs="Calibri"/>
          <w:color w:val="000000"/>
          <w:kern w:val="0"/>
          <w:sz w:val="32"/>
          <w:szCs w:val="32"/>
        </w:rPr>
        <w:t>资料清单</w:t>
      </w:r>
    </w:p>
    <w:tbl>
      <w:tblPr>
        <w:tblStyle w:val="22"/>
        <w:tblW w:w="8340" w:type="dxa"/>
        <w:tblInd w:w="0" w:type="dxa"/>
        <w:shd w:val="clear" w:color="auto" w:fill="FFFFFF"/>
        <w:tblLayout w:type="autofit"/>
        <w:tblCellMar>
          <w:top w:w="0" w:type="dxa"/>
          <w:left w:w="0" w:type="dxa"/>
          <w:bottom w:w="0" w:type="dxa"/>
          <w:right w:w="0" w:type="dxa"/>
        </w:tblCellMar>
      </w:tblPr>
      <w:tblGrid>
        <w:gridCol w:w="705"/>
        <w:gridCol w:w="5415"/>
        <w:gridCol w:w="2220"/>
      </w:tblGrid>
      <w:tr>
        <w:tblPrEx>
          <w:shd w:val="clear" w:color="auto" w:fill="FFFFFF"/>
          <w:tblCellMar>
            <w:top w:w="0" w:type="dxa"/>
            <w:left w:w="0" w:type="dxa"/>
            <w:bottom w:w="0" w:type="dxa"/>
            <w:right w:w="0" w:type="dxa"/>
          </w:tblCellMar>
        </w:tblPrEx>
        <w:trPr>
          <w:trHeight w:val="585" w:hRule="atLeast"/>
        </w:trPr>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center"/>
              <w:rPr>
                <w:rFonts w:ascii="黑体" w:hAnsi="黑体" w:eastAsia="黑体" w:cs="宋体"/>
                <w:color w:val="5A5A5A"/>
                <w:kern w:val="0"/>
                <w:sz w:val="24"/>
                <w:szCs w:val="24"/>
              </w:rPr>
            </w:pPr>
            <w:r>
              <w:rPr>
                <w:rFonts w:hint="eastAsia" w:ascii="黑体" w:hAnsi="黑体" w:eastAsia="黑体" w:cs="宋体"/>
                <w:color w:val="5A5A5A"/>
                <w:kern w:val="0"/>
                <w:sz w:val="24"/>
                <w:szCs w:val="24"/>
              </w:rPr>
              <w:t>序号</w:t>
            </w:r>
          </w:p>
        </w:tc>
        <w:tc>
          <w:tcPr>
            <w:tcW w:w="54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center"/>
              <w:rPr>
                <w:rFonts w:ascii="黑体" w:hAnsi="黑体" w:eastAsia="黑体" w:cs="宋体"/>
                <w:color w:val="5A5A5A"/>
                <w:kern w:val="0"/>
                <w:sz w:val="24"/>
                <w:szCs w:val="24"/>
              </w:rPr>
            </w:pPr>
            <w:r>
              <w:rPr>
                <w:rFonts w:hint="eastAsia" w:ascii="黑体" w:hAnsi="黑体" w:eastAsia="黑体" w:cs="宋体"/>
                <w:color w:val="5A5A5A"/>
                <w:kern w:val="0"/>
                <w:sz w:val="24"/>
                <w:szCs w:val="24"/>
              </w:rPr>
              <w:t>资料名称</w:t>
            </w:r>
          </w:p>
        </w:tc>
        <w:tc>
          <w:tcPr>
            <w:tcW w:w="22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405" w:lineRule="atLeast"/>
              <w:jc w:val="center"/>
              <w:rPr>
                <w:rFonts w:ascii="黑体" w:hAnsi="黑体" w:eastAsia="黑体" w:cs="宋体"/>
                <w:color w:val="5A5A5A"/>
                <w:kern w:val="0"/>
                <w:sz w:val="24"/>
                <w:szCs w:val="24"/>
              </w:rPr>
            </w:pPr>
            <w:r>
              <w:rPr>
                <w:rFonts w:hint="eastAsia" w:ascii="黑体" w:hAnsi="黑体" w:eastAsia="黑体" w:cs="宋体"/>
                <w:color w:val="5A5A5A"/>
                <w:kern w:val="0"/>
                <w:sz w:val="24"/>
                <w:szCs w:val="24"/>
              </w:rPr>
              <w:t>备注</w:t>
            </w:r>
          </w:p>
        </w:tc>
      </w:tr>
      <w:tr>
        <w:tblPrEx>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一</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报价表</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r>
        <w:tblPrEx>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二</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供应商综合情况简介</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r>
        <w:tblPrEx>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三</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无重大违法记录声明函、无不良信用记录声明函</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r>
        <w:tblPrEx>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四</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技术服务方案</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r>
        <w:tblPrEx>
          <w:shd w:val="clear" w:color="auto" w:fill="FFFFFF"/>
          <w:tblCellMar>
            <w:top w:w="0" w:type="dxa"/>
            <w:left w:w="0" w:type="dxa"/>
            <w:bottom w:w="0" w:type="dxa"/>
            <w:right w:w="0" w:type="dxa"/>
          </w:tblCellMar>
        </w:tblPrEx>
        <w:tc>
          <w:tcPr>
            <w:tcW w:w="7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45" w:after="45" w:line="360" w:lineRule="atLeast"/>
              <w:jc w:val="center"/>
              <w:rPr>
                <w:rFonts w:ascii="仿宋" w:hAnsi="仿宋" w:eastAsia="仿宋" w:cs="宋体"/>
                <w:color w:val="5A5A5A"/>
                <w:kern w:val="0"/>
                <w:sz w:val="32"/>
                <w:szCs w:val="32"/>
              </w:rPr>
            </w:pPr>
            <w:r>
              <w:rPr>
                <w:rFonts w:hint="eastAsia" w:ascii="仿宋" w:hAnsi="仿宋" w:eastAsia="仿宋" w:cs="宋体"/>
                <w:color w:val="5A5A5A"/>
                <w:kern w:val="0"/>
                <w:sz w:val="32"/>
                <w:szCs w:val="32"/>
              </w:rPr>
              <w:t>五</w:t>
            </w:r>
          </w:p>
        </w:tc>
        <w:tc>
          <w:tcPr>
            <w:tcW w:w="54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r>
              <w:rPr>
                <w:rFonts w:hint="eastAsia" w:ascii="仿宋" w:hAnsi="仿宋" w:eastAsia="仿宋" w:cs="宋体"/>
                <w:color w:val="5A5A5A"/>
                <w:kern w:val="0"/>
                <w:sz w:val="32"/>
                <w:szCs w:val="32"/>
              </w:rPr>
              <w:t>其他文件</w:t>
            </w:r>
          </w:p>
        </w:tc>
        <w:tc>
          <w:tcPr>
            <w:tcW w:w="22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jc w:val="left"/>
              <w:rPr>
                <w:rFonts w:ascii="仿宋" w:hAnsi="仿宋" w:eastAsia="仿宋" w:cs="宋体"/>
                <w:color w:val="5A5A5A"/>
                <w:kern w:val="0"/>
                <w:sz w:val="32"/>
                <w:szCs w:val="32"/>
              </w:rPr>
            </w:pPr>
          </w:p>
        </w:tc>
      </w:tr>
    </w:tbl>
    <w:p>
      <w:pPr>
        <w:pStyle w:val="41"/>
        <w:tabs>
          <w:tab w:val="left" w:pos="3803"/>
        </w:tabs>
        <w:ind w:firstLine="640"/>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r>
        <w:rPr>
          <w:rFonts w:hint="eastAsia" w:ascii="仿宋_GB2312" w:hAnsi="微软雅黑" w:eastAsia="仿宋_GB2312" w:cs="宋体"/>
          <w:b/>
          <w:bCs/>
          <w:color w:val="5A5A5A"/>
          <w:kern w:val="0"/>
          <w:sz w:val="96"/>
          <w:szCs w:val="96"/>
          <w:lang w:val="en-US" w:eastAsia="zh-CN"/>
        </w:rPr>
        <w:t>响</w:t>
      </w: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r>
        <w:rPr>
          <w:rFonts w:hint="eastAsia" w:ascii="仿宋_GB2312" w:hAnsi="微软雅黑" w:eastAsia="仿宋_GB2312" w:cs="宋体"/>
          <w:b/>
          <w:bCs/>
          <w:color w:val="5A5A5A"/>
          <w:kern w:val="0"/>
          <w:sz w:val="96"/>
          <w:szCs w:val="96"/>
          <w:lang w:val="en-US" w:eastAsia="zh-CN"/>
        </w:rPr>
        <w:t>应</w:t>
      </w: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r>
        <w:rPr>
          <w:rFonts w:hint="eastAsia" w:ascii="仿宋_GB2312" w:hAnsi="微软雅黑" w:eastAsia="仿宋_GB2312" w:cs="宋体"/>
          <w:b/>
          <w:bCs/>
          <w:color w:val="5A5A5A"/>
          <w:kern w:val="0"/>
          <w:sz w:val="96"/>
          <w:szCs w:val="96"/>
          <w:lang w:val="en-US" w:eastAsia="zh-CN"/>
        </w:rPr>
        <w:t>文</w:t>
      </w: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r>
        <w:rPr>
          <w:rFonts w:hint="eastAsia" w:ascii="仿宋_GB2312" w:hAnsi="微软雅黑" w:eastAsia="仿宋_GB2312" w:cs="宋体"/>
          <w:b/>
          <w:bCs/>
          <w:color w:val="5A5A5A"/>
          <w:kern w:val="0"/>
          <w:sz w:val="96"/>
          <w:szCs w:val="96"/>
          <w:lang w:val="en-US" w:eastAsia="zh-CN"/>
        </w:rPr>
        <w:t>件</w:t>
      </w: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center"/>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both"/>
        <w:outlineLvl w:val="1"/>
        <w:rPr>
          <w:rFonts w:hint="eastAsia" w:ascii="仿宋_GB2312" w:hAnsi="微软雅黑" w:eastAsia="仿宋_GB2312" w:cs="宋体"/>
          <w:b/>
          <w:bCs/>
          <w:color w:val="5A5A5A"/>
          <w:kern w:val="0"/>
          <w:sz w:val="96"/>
          <w:szCs w:val="96"/>
          <w:lang w:val="en-US" w:eastAsia="zh-CN"/>
        </w:rPr>
      </w:pP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附件1</w:t>
      </w:r>
    </w:p>
    <w:p>
      <w:pPr>
        <w:widowControl/>
        <w:shd w:val="clear" w:color="auto" w:fill="FFFFFF"/>
        <w:spacing w:before="120" w:after="120"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报价表</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项目名称：</w:t>
      </w:r>
    </w:p>
    <w:tbl>
      <w:tblPr>
        <w:tblStyle w:val="22"/>
        <w:tblW w:w="8190" w:type="dxa"/>
        <w:tblInd w:w="0" w:type="dxa"/>
        <w:shd w:val="clear" w:color="auto" w:fill="FFFFFF"/>
        <w:tblLayout w:type="autofit"/>
        <w:tblCellMar>
          <w:top w:w="0" w:type="dxa"/>
          <w:left w:w="0" w:type="dxa"/>
          <w:bottom w:w="0" w:type="dxa"/>
          <w:right w:w="0" w:type="dxa"/>
        </w:tblCellMar>
      </w:tblPr>
      <w:tblGrid>
        <w:gridCol w:w="2445"/>
        <w:gridCol w:w="5745"/>
      </w:tblGrid>
      <w:tr>
        <w:tblPrEx>
          <w:shd w:val="clear" w:color="auto" w:fill="FFFFFF"/>
          <w:tblCellMar>
            <w:top w:w="0" w:type="dxa"/>
            <w:left w:w="0" w:type="dxa"/>
            <w:bottom w:w="0" w:type="dxa"/>
            <w:right w:w="0" w:type="dxa"/>
          </w:tblCellMar>
        </w:tblPrEx>
        <w:trPr>
          <w:trHeight w:val="660" w:hRule="atLeast"/>
        </w:trPr>
        <w:tc>
          <w:tcPr>
            <w:tcW w:w="24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供应商名称</w:t>
            </w:r>
          </w:p>
        </w:tc>
        <w:tc>
          <w:tcPr>
            <w:tcW w:w="57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80"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报价范围</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所有费用</w:t>
            </w:r>
          </w:p>
        </w:tc>
      </w:tr>
      <w:tr>
        <w:tblPrEx>
          <w:shd w:val="clear" w:color="auto" w:fill="FFFFFF"/>
          <w:tblCellMar>
            <w:top w:w="0" w:type="dxa"/>
            <w:left w:w="0" w:type="dxa"/>
            <w:bottom w:w="0" w:type="dxa"/>
            <w:right w:w="0" w:type="dxa"/>
          </w:tblCellMar>
        </w:tblPrEx>
        <w:trPr>
          <w:trHeight w:val="1695"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报价</w:t>
            </w:r>
          </w:p>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（详见备注说明）</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left"/>
              <w:rPr>
                <w:rFonts w:ascii="微软雅黑" w:hAnsi="微软雅黑" w:eastAsia="微软雅黑" w:cs="宋体"/>
                <w:color w:val="5A5A5A"/>
                <w:kern w:val="0"/>
                <w:sz w:val="24"/>
                <w:szCs w:val="24"/>
              </w:rPr>
            </w:pPr>
          </w:p>
          <w:p>
            <w:pPr>
              <w:widowControl/>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人民币大写：</w:t>
            </w:r>
            <w:r>
              <w:rPr>
                <w:rFonts w:ascii="宋体" w:hAnsi="宋体" w:eastAsia="宋体" w:cs="宋体"/>
                <w:color w:val="5A5A5A"/>
                <w:kern w:val="0"/>
                <w:sz w:val="24"/>
                <w:szCs w:val="24"/>
                <w:u w:val="single"/>
              </w:rPr>
              <w:t xml:space="preserve">                                 </w:t>
            </w:r>
          </w:p>
          <w:p>
            <w:pPr>
              <w:widowControl/>
              <w:spacing w:line="360" w:lineRule="atLeast"/>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2580" w:hRule="atLeast"/>
        </w:trPr>
        <w:tc>
          <w:tcPr>
            <w:tcW w:w="24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备注说明</w:t>
            </w:r>
          </w:p>
        </w:tc>
        <w:tc>
          <w:tcPr>
            <w:tcW w:w="5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rPr>
                <w:rFonts w:ascii="微软雅黑" w:hAnsi="微软雅黑" w:eastAsia="微软雅黑" w:cs="宋体"/>
                <w:color w:val="5A5A5A"/>
                <w:kern w:val="0"/>
                <w:sz w:val="24"/>
                <w:szCs w:val="24"/>
              </w:rPr>
            </w:pPr>
          </w:p>
        </w:tc>
      </w:tr>
    </w:tbl>
    <w:p>
      <w:pPr>
        <w:widowControl/>
        <w:shd w:val="clear" w:color="auto" w:fill="FFFFFF"/>
        <w:spacing w:line="360" w:lineRule="atLeast"/>
        <w:jc w:val="left"/>
        <w:rPr>
          <w:rFonts w:ascii="微软雅黑" w:hAnsi="微软雅黑" w:eastAsia="微软雅黑" w:cs="宋体"/>
          <w:color w:val="5A5A5A"/>
          <w:kern w:val="0"/>
          <w:sz w:val="24"/>
          <w:szCs w:val="24"/>
        </w:rPr>
      </w:pP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供应商公章：</w:t>
      </w:r>
    </w:p>
    <w:p>
      <w:pPr>
        <w:widowControl/>
        <w:shd w:val="clear" w:color="auto" w:fill="FFFFFF"/>
        <w:spacing w:line="360" w:lineRule="atLeast"/>
        <w:jc w:val="righ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年</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月</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日</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注：</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1、本表内容根据询价文件要求包括了所有服务及其配套的所有费用。</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2、特殊事项在备注中注明。</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3、供应商应根据其响应文件中报价表的内容填写唱标信息，唱标信息不作为评审的依据。唱标信息与报价表不一致的，以报价表为准。</w:t>
      </w:r>
    </w:p>
    <w:p>
      <w:pPr>
        <w:widowControl/>
        <w:shd w:val="clear" w:color="auto" w:fill="FFFFFF"/>
        <w:spacing w:before="120" w:after="120" w:line="360" w:lineRule="atLeast"/>
        <w:jc w:val="left"/>
        <w:rPr>
          <w:rFonts w:ascii="微软雅黑" w:hAnsi="微软雅黑" w:eastAsia="微软雅黑" w:cs="宋体"/>
          <w:color w:val="5A5A5A"/>
          <w:kern w:val="0"/>
          <w:sz w:val="24"/>
          <w:szCs w:val="24"/>
        </w:rPr>
      </w:pPr>
    </w:p>
    <w:p>
      <w:pPr>
        <w:pStyle w:val="41"/>
        <w:tabs>
          <w:tab w:val="left" w:pos="3803"/>
        </w:tabs>
        <w:ind w:firstLine="640"/>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附件2</w:t>
      </w:r>
    </w:p>
    <w:p>
      <w:pPr>
        <w:widowControl/>
        <w:shd w:val="clear" w:color="auto" w:fill="FFFFFF"/>
        <w:spacing w:after="120"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供应商综合情况简介</w:t>
      </w:r>
    </w:p>
    <w:tbl>
      <w:tblPr>
        <w:tblStyle w:val="22"/>
        <w:tblW w:w="8355" w:type="dxa"/>
        <w:tblInd w:w="0" w:type="dxa"/>
        <w:shd w:val="clear" w:color="auto" w:fill="FFFFFF"/>
        <w:tblLayout w:type="autofit"/>
        <w:tblCellMar>
          <w:top w:w="0" w:type="dxa"/>
          <w:left w:w="0" w:type="dxa"/>
          <w:bottom w:w="0" w:type="dxa"/>
          <w:right w:w="0" w:type="dxa"/>
        </w:tblCellMar>
      </w:tblPr>
      <w:tblGrid>
        <w:gridCol w:w="809"/>
        <w:gridCol w:w="1632"/>
        <w:gridCol w:w="958"/>
        <w:gridCol w:w="1572"/>
        <w:gridCol w:w="1183"/>
        <w:gridCol w:w="1437"/>
        <w:gridCol w:w="764"/>
      </w:tblGrid>
      <w:tr>
        <w:tblPrEx>
          <w:shd w:val="clear" w:color="auto" w:fill="FFFFFF"/>
          <w:tblCellMar>
            <w:top w:w="0" w:type="dxa"/>
            <w:left w:w="0" w:type="dxa"/>
            <w:bottom w:w="0" w:type="dxa"/>
            <w:right w:w="0" w:type="dxa"/>
          </w:tblCellMar>
        </w:tblPrEx>
        <w:trPr>
          <w:trHeight w:val="540" w:hRule="atLeast"/>
        </w:trPr>
        <w:tc>
          <w:tcPr>
            <w:tcW w:w="8355"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9"/>
                <w:szCs w:val="29"/>
              </w:rPr>
              <w:t>政府采购供应商信息表</w:t>
            </w:r>
          </w:p>
        </w:tc>
      </w:tr>
      <w:tr>
        <w:tblPrEx>
          <w:shd w:val="clear" w:color="auto" w:fill="FFFFFF"/>
          <w:tblCellMar>
            <w:top w:w="0" w:type="dxa"/>
            <w:left w:w="0" w:type="dxa"/>
            <w:bottom w:w="0" w:type="dxa"/>
            <w:right w:w="0" w:type="dxa"/>
          </w:tblCellMar>
        </w:tblPrEx>
        <w:trPr>
          <w:trHeight w:val="450" w:hRule="atLeast"/>
        </w:trPr>
        <w:tc>
          <w:tcPr>
            <w:tcW w:w="8355" w:type="dxa"/>
            <w:gridSpan w:val="7"/>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项目名称：</w:t>
            </w:r>
          </w:p>
        </w:tc>
      </w:tr>
      <w:tr>
        <w:tblPrEx>
          <w:shd w:val="clear" w:color="auto" w:fill="FFFFFF"/>
          <w:tblCellMar>
            <w:top w:w="0" w:type="dxa"/>
            <w:left w:w="0" w:type="dxa"/>
            <w:bottom w:w="0" w:type="dxa"/>
            <w:right w:w="0" w:type="dxa"/>
          </w:tblCellMar>
        </w:tblPrEx>
        <w:trPr>
          <w:trHeight w:val="1575" w:hRule="atLeast"/>
        </w:trPr>
        <w:tc>
          <w:tcPr>
            <w:tcW w:w="81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项目信息</w:t>
            </w: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企业全称</w:t>
            </w:r>
          </w:p>
        </w:tc>
        <w:tc>
          <w:tcPr>
            <w:tcW w:w="5925" w:type="dxa"/>
            <w:gridSpan w:val="5"/>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81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企业基本信息</w:t>
            </w: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公司地址</w:t>
            </w:r>
          </w:p>
        </w:tc>
        <w:tc>
          <w:tcPr>
            <w:tcW w:w="253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联系人及联系电话</w:t>
            </w:r>
          </w:p>
        </w:tc>
        <w:tc>
          <w:tcPr>
            <w:tcW w:w="220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是否在皖设立分支机构</w:t>
            </w:r>
          </w:p>
        </w:tc>
        <w:tc>
          <w:tcPr>
            <w:tcW w:w="253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分支机构分类</w:t>
            </w:r>
          </w:p>
        </w:tc>
        <w:tc>
          <w:tcPr>
            <w:tcW w:w="2205" w:type="dxa"/>
            <w:gridSpan w:val="2"/>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企业规模</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注册资本</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总资产</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企业性质</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所属产业</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所属行业</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是否特殊企业</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就业人数</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残疾人等特殊群体人数</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810" w:type="dxa"/>
            <w:vMerge w:val="restar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上年收入缴费等信息</w:t>
            </w: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上年营业收入</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上年利润总额</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上年政府采购合同总金额</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上年缴税总额</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其中增值税</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其中营业税</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其中所得税</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上年缴纳社会保险总额</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其中缴纳养老保险</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其中缴纳医疗保险</w:t>
            </w: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705" w:hRule="atLeast"/>
        </w:trPr>
        <w:tc>
          <w:tcPr>
            <w:tcW w:w="0" w:type="auto"/>
            <w:vMerge w:val="continue"/>
            <w:tcBorders>
              <w:top w:val="nil"/>
              <w:left w:val="single" w:color="000000" w:sz="6" w:space="0"/>
              <w:bottom w:val="single" w:color="000000" w:sz="6" w:space="0"/>
              <w:right w:val="single" w:color="000000" w:sz="6" w:space="0"/>
            </w:tcBorders>
            <w:shd w:val="clear" w:color="auto" w:fill="FFFFFF"/>
            <w:vAlign w:val="center"/>
          </w:tcPr>
          <w:p>
            <w:pPr>
              <w:widowControl/>
              <w:jc w:val="left"/>
              <w:rPr>
                <w:rFonts w:ascii="微软雅黑" w:hAnsi="微软雅黑" w:eastAsia="微软雅黑" w:cs="宋体"/>
                <w:color w:val="5A5A5A"/>
                <w:kern w:val="0"/>
                <w:sz w:val="24"/>
                <w:szCs w:val="24"/>
              </w:rPr>
            </w:pPr>
          </w:p>
        </w:tc>
        <w:tc>
          <w:tcPr>
            <w:tcW w:w="1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其中缴纳失业保险</w:t>
            </w:r>
          </w:p>
        </w:tc>
        <w:tc>
          <w:tcPr>
            <w:tcW w:w="9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上年缴纳住房公积金总额</w:t>
            </w:r>
          </w:p>
        </w:tc>
        <w:tc>
          <w:tcPr>
            <w:tcW w:w="11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14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c>
          <w:tcPr>
            <w:tcW w:w="76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微软雅黑" w:hAnsi="微软雅黑" w:eastAsia="微软雅黑" w:cs="宋体"/>
                <w:color w:val="5A5A5A"/>
                <w:kern w:val="0"/>
                <w:sz w:val="24"/>
                <w:szCs w:val="24"/>
              </w:rPr>
            </w:pPr>
          </w:p>
        </w:tc>
      </w:tr>
      <w:tr>
        <w:tblPrEx>
          <w:shd w:val="clear" w:color="auto" w:fill="FFFFFF"/>
          <w:tblCellMar>
            <w:top w:w="0" w:type="dxa"/>
            <w:left w:w="0" w:type="dxa"/>
            <w:bottom w:w="0" w:type="dxa"/>
            <w:right w:w="0" w:type="dxa"/>
          </w:tblCellMar>
        </w:tblPrEx>
        <w:trPr>
          <w:trHeight w:val="885" w:hRule="atLeast"/>
        </w:trPr>
        <w:tc>
          <w:tcPr>
            <w:tcW w:w="8355" w:type="dxa"/>
            <w:gridSpan w:val="7"/>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jc w:val="center"/>
              <w:rPr>
                <w:rFonts w:ascii="微软雅黑" w:hAnsi="微软雅黑" w:eastAsia="微软雅黑" w:cs="宋体"/>
                <w:color w:val="5A5A5A"/>
                <w:kern w:val="0"/>
                <w:sz w:val="24"/>
                <w:szCs w:val="24"/>
              </w:rPr>
            </w:pPr>
          </w:p>
          <w:p>
            <w:pPr>
              <w:widowControl/>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供应商公章：</w:t>
            </w:r>
          </w:p>
          <w:p>
            <w:pPr>
              <w:widowControl/>
              <w:jc w:val="center"/>
              <w:rPr>
                <w:rFonts w:ascii="微软雅黑" w:hAnsi="微软雅黑" w:eastAsia="微软雅黑" w:cs="宋体"/>
                <w:color w:val="5A5A5A"/>
                <w:kern w:val="0"/>
                <w:sz w:val="24"/>
                <w:szCs w:val="24"/>
              </w:rPr>
            </w:pPr>
          </w:p>
          <w:p>
            <w:pPr>
              <w:widowControl/>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 xml:space="preserve">填表日期： </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 xml:space="preserve">年 </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月</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日</w:t>
            </w:r>
          </w:p>
        </w:tc>
      </w:tr>
    </w:tbl>
    <w:p>
      <w:pPr>
        <w:widowControl/>
        <w:shd w:val="clear" w:color="auto" w:fill="FFFFFF"/>
        <w:jc w:val="left"/>
        <w:rPr>
          <w:rFonts w:ascii="微软雅黑" w:hAnsi="微软雅黑" w:eastAsia="微软雅黑" w:cs="宋体"/>
          <w:color w:val="5A5A5A"/>
          <w:kern w:val="0"/>
          <w:sz w:val="24"/>
          <w:szCs w:val="24"/>
        </w:rPr>
      </w:pPr>
    </w:p>
    <w:p>
      <w:pPr>
        <w:widowControl/>
        <w:shd w:val="clear" w:color="auto" w:fill="FFFFFF"/>
        <w:spacing w:after="120" w:line="360" w:lineRule="atLeast"/>
        <w:jc w:val="left"/>
        <w:rPr>
          <w:rFonts w:ascii="微软雅黑" w:hAnsi="微软雅黑" w:eastAsia="微软雅黑" w:cs="宋体"/>
          <w:color w:val="5A5A5A"/>
          <w:kern w:val="0"/>
          <w:sz w:val="24"/>
          <w:szCs w:val="24"/>
        </w:rPr>
      </w:pPr>
      <w:r>
        <w:rPr>
          <w:rFonts w:hint="eastAsia" w:ascii="仿宋_GB2312" w:hAnsi="微软雅黑" w:eastAsia="仿宋_GB2312" w:cs="宋体"/>
          <w:color w:val="5A5A5A"/>
          <w:kern w:val="0"/>
          <w:sz w:val="32"/>
          <w:szCs w:val="32"/>
        </w:rPr>
        <w:t>填表说明：</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1、请填表人认真、准确填写，并加盖单位公章，为便于成交后进行政府采购合同备案，请填写完整。</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2、谈判项目产品中如无节能、环保产品，对应金额填“0”。</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3“分支机构分类”对应填写“分公司”、“办事处”“其他分支机构”。</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4、“企业规模”参照《中小企业划型标准规定》对应填写“大型企业”、“中型企业”、“小型企业”、“微型企业”。</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5、“注册资本”、“总资产”等金额均以“万元”为单位。</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6、“企业性质”对应填写“国有及国有控股”、“民营企业”、“集体企业”、“中外合资”、“外商独资”。</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7、“所属产业”对应填写“第一产业”、“第二产业”、“第三产业”。第一产业是指农林牧渔业;第二产业是指采矿业、制造业，电力、燃气及水的生产和供应业，建筑业;第三产业是指除第一、二产业以外的其他行业。</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8、“所属行业”对应填写“农林牧渔业”、“工业”、“建筑业”、“批发零售业”、“交通运输业”、“仓储业”、“邮政业”、“住宿餐饮业”、“信息传输和信息服务业”、“房地产业”、“其他”。</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9、“是否特殊企业”对应填写“军转自主择业创业企业”、“残疾人就业企业”、“再就业扶持企业”、“高新技术企业”、“软件企业”、“监狱企业”、“非特殊企业”。</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10、“上年政府采购合同总额”是指上年全年参与政府采购谈判，签订的政府采购合同金额总和。</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11、“上年缴税总额”是指上年企业全年缴纳税款总额，“其中增值税”、“其中营业税”、“其中所得税”分别对应填写上年缴纳金额。</w:t>
      </w:r>
    </w:p>
    <w:p>
      <w:pPr>
        <w:widowControl/>
        <w:shd w:val="clear" w:color="auto" w:fill="FFFFFF"/>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12、“上年缴纳社会保险总额”是指上年企业全年缴纳养老、医疗等各类社会保险金额总和,“其中缴纳养老保险”、“其中缴纳医疗保险”、 “其中缴纳失业保险”分别对应填写上年缴纳金额。</w:t>
      </w:r>
    </w:p>
    <w:p>
      <w:pPr>
        <w:pStyle w:val="41"/>
        <w:tabs>
          <w:tab w:val="left" w:pos="3803"/>
        </w:tabs>
        <w:ind w:firstLine="640"/>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附件3</w:t>
      </w:r>
    </w:p>
    <w:p>
      <w:pPr>
        <w:widowControl/>
        <w:shd w:val="clear" w:color="auto" w:fill="FFFFFF"/>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无重大违法记录声明函、无不良信用记录声明函</w:t>
      </w:r>
    </w:p>
    <w:p>
      <w:pPr>
        <w:widowControl/>
        <w:shd w:val="clear" w:color="auto" w:fill="FFFFFF"/>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(本声明函将随成交结果一并公告)</w:t>
      </w:r>
    </w:p>
    <w:p>
      <w:pPr>
        <w:widowControl/>
        <w:shd w:val="clear" w:color="auto" w:fill="FFFFFF"/>
        <w:spacing w:line="360" w:lineRule="atLeast"/>
        <w:ind w:firstLine="435"/>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2、本公司郑重声明，符合下列情形之一：</w:t>
      </w:r>
    </w:p>
    <w:p>
      <w:pPr>
        <w:widowControl/>
        <w:shd w:val="clear" w:color="auto" w:fill="FFFFFF"/>
        <w:spacing w:line="360" w:lineRule="atLeast"/>
        <w:ind w:firstLine="36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（1）谈判日前两年内未被合肥市及其所辖县（市）公共资源交易监督管理局记不良行为记录或记不良行为记录累计未满10分的；</w:t>
      </w:r>
    </w:p>
    <w:p>
      <w:pPr>
        <w:widowControl/>
        <w:shd w:val="clear" w:color="auto" w:fill="FFFFFF"/>
        <w:spacing w:line="360" w:lineRule="atLeast"/>
        <w:ind w:firstLine="36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（2）最近一次被合肥市及其所辖县（市）公共资源交易监督管理局记不良行为记录累计记分达10分（含10分）到15分且公布日距谈判日超过6个月；</w:t>
      </w:r>
    </w:p>
    <w:p>
      <w:pPr>
        <w:widowControl/>
        <w:shd w:val="clear" w:color="auto" w:fill="FFFFFF"/>
        <w:spacing w:line="360" w:lineRule="atLeast"/>
        <w:ind w:firstLine="36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（3）最近一次被合肥市及其所辖县（市）公共资源交易监督管理局记不良行为记录累计记分达15分（含15分）到20分且公布日距谈判日超过12个月；</w:t>
      </w:r>
    </w:p>
    <w:p>
      <w:pPr>
        <w:widowControl/>
        <w:shd w:val="clear" w:color="auto" w:fill="FFFFFF"/>
        <w:spacing w:line="360" w:lineRule="atLeast"/>
        <w:ind w:firstLine="36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（4）最近一次被合肥市及其所辖县（市）公共资源交易监督管理局记不良行为记录累计记分达20分（含20分）及以上且公布日距谈判日超过24个月。</w:t>
      </w:r>
    </w:p>
    <w:p>
      <w:pPr>
        <w:widowControl/>
        <w:shd w:val="clear" w:color="auto" w:fill="FFFFFF"/>
        <w:spacing w:line="360" w:lineRule="atLeast"/>
        <w:ind w:firstLine="435"/>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3、本公司郑重声明，我公司无以下不良信用记录情形：</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（1）公司被人民法院列入失信被执行人；</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（2）公司、法定代表人或拟派项目经理（项目负责人）被人民检察院列入行贿犯罪档案；</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（3）公司被工商行政管理部门列入企业经营异常名录；</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（4）公司被税务部门列入重大税收违法案件当事人名单；</w:t>
      </w:r>
    </w:p>
    <w:p>
      <w:pPr>
        <w:widowControl/>
        <w:shd w:val="clear" w:color="auto" w:fill="FFFFFF"/>
        <w:spacing w:line="360" w:lineRule="atLeast"/>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（5）公司被政府采购监管部门列入政府采购严重违法失信行为记录名单。</w:t>
      </w:r>
    </w:p>
    <w:p>
      <w:pPr>
        <w:widowControl/>
        <w:shd w:val="clear" w:color="auto" w:fill="FFFFFF"/>
        <w:spacing w:line="360" w:lineRule="atLeast"/>
        <w:ind w:firstLine="435"/>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我公司已就上述不良信用行为按照谈判文件中供应商须知前附表规定进行了查询。</w:t>
      </w:r>
      <w:r>
        <w:rPr>
          <w:rFonts w:hint="eastAsia" w:ascii="宋体" w:hAnsi="宋体" w:eastAsia="宋体" w:cs="宋体"/>
          <w:color w:val="5A5A5A"/>
          <w:kern w:val="0"/>
          <w:sz w:val="24"/>
          <w:szCs w:val="24"/>
        </w:rPr>
        <w:t>我公司承诺：合同签订前，若我公司具有不良信用记录情形，贵方可取消我公司成交资格或者不授予合同，所有责任由我公司自行承担。同时，我公司愿意无条件接受监管部门的调查处理。</w:t>
      </w:r>
    </w:p>
    <w:p>
      <w:pPr>
        <w:widowControl/>
        <w:shd w:val="clear" w:color="auto" w:fill="FFFFFF"/>
        <w:spacing w:line="360" w:lineRule="atLeast"/>
        <w:ind w:firstLine="435"/>
        <w:jc w:val="left"/>
        <w:rPr>
          <w:rFonts w:ascii="宋体" w:hAnsi="宋体" w:eastAsia="宋体" w:cs="宋体"/>
          <w:color w:val="5A5A5A"/>
          <w:kern w:val="0"/>
          <w:sz w:val="24"/>
          <w:szCs w:val="24"/>
        </w:rPr>
      </w:pPr>
      <w:r>
        <w:rPr>
          <w:rFonts w:hint="eastAsia" w:ascii="宋体" w:hAnsi="宋体" w:eastAsia="宋体" w:cs="宋体"/>
          <w:color w:val="5A5A5A"/>
          <w:kern w:val="0"/>
          <w:sz w:val="24"/>
          <w:szCs w:val="24"/>
        </w:rPr>
        <w:t>本公司对上述声明的真实性负责。如有虚假，将依法承担相应责任。</w:t>
      </w:r>
    </w:p>
    <w:p>
      <w:pPr>
        <w:widowControl/>
        <w:shd w:val="clear" w:color="auto" w:fill="FFFFFF"/>
        <w:spacing w:line="360" w:lineRule="atLeast"/>
        <w:ind w:firstLine="435"/>
        <w:jc w:val="left"/>
        <w:rPr>
          <w:rFonts w:ascii="微软雅黑" w:hAnsi="微软雅黑" w:eastAsia="微软雅黑" w:cs="宋体"/>
          <w:color w:val="5A5A5A"/>
          <w:kern w:val="0"/>
          <w:sz w:val="24"/>
          <w:szCs w:val="24"/>
        </w:rPr>
      </w:pPr>
    </w:p>
    <w:p>
      <w:pPr>
        <w:widowControl/>
        <w:shd w:val="clear" w:color="auto" w:fill="FFFFFF"/>
        <w:spacing w:line="360" w:lineRule="atLeast"/>
        <w:ind w:firstLine="435"/>
        <w:jc w:val="left"/>
        <w:rPr>
          <w:rFonts w:ascii="宋体" w:hAnsi="宋体" w:eastAsia="宋体" w:cs="宋体"/>
          <w:color w:val="5A5A5A"/>
          <w:kern w:val="0"/>
          <w:sz w:val="24"/>
          <w:szCs w:val="24"/>
          <w:u w:val="single"/>
        </w:rPr>
      </w:pPr>
      <w:r>
        <w:rPr>
          <w:rFonts w:hint="eastAsia" w:ascii="宋体" w:hAnsi="宋体" w:eastAsia="宋体" w:cs="宋体"/>
          <w:color w:val="5A5A5A"/>
          <w:kern w:val="0"/>
          <w:sz w:val="24"/>
          <w:szCs w:val="24"/>
        </w:rPr>
        <w:t xml:space="preserve">供应商公章： </w:t>
      </w:r>
      <w:r>
        <w:rPr>
          <w:rFonts w:ascii="宋体" w:hAnsi="宋体" w:eastAsia="宋体" w:cs="宋体"/>
          <w:color w:val="5A5A5A"/>
          <w:kern w:val="0"/>
          <w:sz w:val="24"/>
          <w:szCs w:val="24"/>
        </w:rPr>
        <w:t xml:space="preserve">                 </w:t>
      </w:r>
      <w:r>
        <w:rPr>
          <w:rFonts w:hint="eastAsia" w:ascii="宋体" w:hAnsi="宋体" w:eastAsia="宋体" w:cs="宋体"/>
          <w:color w:val="5A5A5A"/>
          <w:kern w:val="0"/>
          <w:sz w:val="24"/>
          <w:szCs w:val="24"/>
        </w:rPr>
        <w:t>日期：</w:t>
      </w:r>
      <w:r>
        <w:rPr>
          <w:rFonts w:ascii="宋体" w:hAnsi="宋体" w:eastAsia="宋体" w:cs="宋体"/>
          <w:color w:val="5A5A5A"/>
          <w:kern w:val="0"/>
          <w:sz w:val="24"/>
          <w:szCs w:val="24"/>
          <w:u w:val="single"/>
        </w:rPr>
        <w:t xml:space="preserve">                         </w:t>
      </w:r>
    </w:p>
    <w:p>
      <w:pPr>
        <w:pStyle w:val="41"/>
        <w:tabs>
          <w:tab w:val="left" w:pos="3803"/>
        </w:tabs>
        <w:ind w:firstLine="640"/>
        <w:rPr>
          <w:rFonts w:ascii="仿宋_GB2312" w:hAnsi="黑体" w:eastAsia="仿宋_GB2312"/>
          <w:color w:val="000000"/>
          <w:sz w:val="32"/>
          <w:szCs w:val="32"/>
        </w:rPr>
      </w:pPr>
      <w:r>
        <w:rPr>
          <w:rFonts w:ascii="仿宋_GB2312" w:hAnsi="黑体" w:eastAsia="仿宋_GB2312"/>
          <w:color w:val="000000"/>
          <w:sz w:val="32"/>
          <w:szCs w:val="32"/>
        </w:rPr>
        <w:br w:type="page"/>
      </w: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附件4</w:t>
      </w:r>
    </w:p>
    <w:p>
      <w:pPr>
        <w:widowControl/>
        <w:shd w:val="clear" w:color="auto" w:fill="FFFFFF"/>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服务方案</w:t>
      </w:r>
    </w:p>
    <w:p>
      <w:pPr>
        <w:widowControl/>
        <w:shd w:val="clear" w:color="auto" w:fill="FFFFFF"/>
        <w:spacing w:line="360" w:lineRule="atLeast"/>
        <w:jc w:val="center"/>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（供应商可自行制作格式）</w:t>
      </w:r>
    </w:p>
    <w:p>
      <w:pPr>
        <w:widowControl/>
        <w:shd w:val="clear" w:color="auto" w:fill="FFFFFF"/>
        <w:spacing w:line="360" w:lineRule="atLeast"/>
        <w:jc w:val="center"/>
        <w:rPr>
          <w:rFonts w:ascii="微软雅黑" w:hAnsi="微软雅黑" w:eastAsia="微软雅黑" w:cs="宋体"/>
          <w:color w:val="5A5A5A"/>
          <w:kern w:val="0"/>
          <w:sz w:val="24"/>
          <w:szCs w:val="24"/>
        </w:rPr>
      </w:pPr>
    </w:p>
    <w:p>
      <w:pPr>
        <w:widowControl/>
        <w:shd w:val="clear" w:color="auto" w:fill="FFFFFF"/>
        <w:spacing w:line="360" w:lineRule="atLeast"/>
        <w:jc w:val="center"/>
        <w:rPr>
          <w:rFonts w:ascii="微软雅黑" w:hAnsi="微软雅黑" w:eastAsia="微软雅黑" w:cs="宋体"/>
          <w:color w:val="5A5A5A"/>
          <w:kern w:val="0"/>
          <w:sz w:val="24"/>
          <w:szCs w:val="24"/>
        </w:rPr>
      </w:pPr>
    </w:p>
    <w:p>
      <w:pPr>
        <w:widowControl/>
        <w:shd w:val="clear" w:color="auto" w:fill="FFFFFF"/>
        <w:spacing w:line="360" w:lineRule="atLeast"/>
        <w:jc w:val="center"/>
        <w:rPr>
          <w:rFonts w:ascii="微软雅黑" w:hAnsi="微软雅黑" w:eastAsia="微软雅黑" w:cs="宋体"/>
          <w:color w:val="5A5A5A"/>
          <w:kern w:val="0"/>
          <w:sz w:val="24"/>
          <w:szCs w:val="24"/>
        </w:rPr>
      </w:pPr>
    </w:p>
    <w:p>
      <w:pPr>
        <w:widowControl/>
        <w:shd w:val="clear" w:color="auto" w:fill="FFFFFF"/>
        <w:spacing w:line="360" w:lineRule="atLeast"/>
        <w:jc w:val="center"/>
        <w:rPr>
          <w:rFonts w:ascii="微软雅黑" w:hAnsi="微软雅黑" w:eastAsia="微软雅黑" w:cs="宋体"/>
          <w:color w:val="5A5A5A"/>
          <w:kern w:val="0"/>
          <w:sz w:val="24"/>
          <w:szCs w:val="24"/>
        </w:rPr>
      </w:pP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附件5</w:t>
      </w:r>
    </w:p>
    <w:p>
      <w:pPr>
        <w:widowControl/>
        <w:shd w:val="clear" w:color="auto" w:fill="FFFFFF"/>
        <w:spacing w:line="360" w:lineRule="atLeast"/>
        <w:jc w:val="left"/>
        <w:outlineLvl w:val="1"/>
        <w:rPr>
          <w:rFonts w:ascii="微软雅黑" w:hAnsi="微软雅黑" w:eastAsia="微软雅黑" w:cs="宋体"/>
          <w:b/>
          <w:bCs/>
          <w:color w:val="5A5A5A"/>
          <w:kern w:val="0"/>
          <w:sz w:val="24"/>
          <w:szCs w:val="24"/>
        </w:rPr>
      </w:pPr>
      <w:r>
        <w:rPr>
          <w:rFonts w:hint="eastAsia" w:ascii="仿宋_GB2312" w:hAnsi="微软雅黑" w:eastAsia="仿宋_GB2312" w:cs="宋体"/>
          <w:b/>
          <w:bCs/>
          <w:color w:val="5A5A5A"/>
          <w:kern w:val="0"/>
          <w:sz w:val="24"/>
          <w:szCs w:val="24"/>
        </w:rPr>
        <w:t>其他文件</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提供符合谈判邀请（谈判公告）、采购需求及评标办法规定的相关证明文件。</w:t>
      </w:r>
    </w:p>
    <w:p>
      <w:pPr>
        <w:widowControl/>
        <w:shd w:val="clear" w:color="auto" w:fill="FFFFFF"/>
        <w:spacing w:line="360" w:lineRule="atLeast"/>
        <w:ind w:firstLine="480"/>
        <w:jc w:val="left"/>
        <w:rPr>
          <w:rFonts w:ascii="宋体" w:hAnsi="宋体" w:eastAsia="宋体" w:cs="宋体"/>
          <w:b/>
          <w:bCs/>
          <w:color w:val="5A5A5A"/>
          <w:kern w:val="0"/>
          <w:sz w:val="24"/>
          <w:szCs w:val="24"/>
        </w:rPr>
      </w:pPr>
      <w:r>
        <w:rPr>
          <w:rFonts w:hint="eastAsia" w:ascii="宋体" w:hAnsi="宋体" w:eastAsia="宋体" w:cs="宋体"/>
          <w:b/>
          <w:bCs/>
          <w:color w:val="5A5A5A"/>
          <w:kern w:val="0"/>
          <w:sz w:val="24"/>
          <w:szCs w:val="24"/>
        </w:rPr>
        <w:t>1、供应商业绩</w:t>
      </w:r>
    </w:p>
    <w:p>
      <w:pPr>
        <w:widowControl/>
        <w:shd w:val="clear" w:color="auto" w:fill="FFFFFF"/>
        <w:spacing w:line="360" w:lineRule="atLeast"/>
        <w:ind w:left="360" w:firstLine="12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提供证明材料扫描件或影印件</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b/>
          <w:bCs/>
          <w:color w:val="5A5A5A"/>
          <w:kern w:val="0"/>
          <w:sz w:val="24"/>
          <w:szCs w:val="24"/>
        </w:rPr>
        <w:t>2、其他谈判文件要求的证明资料</w:t>
      </w:r>
    </w:p>
    <w:p>
      <w:pPr>
        <w:widowControl/>
        <w:shd w:val="clear" w:color="auto" w:fill="FFFFFF"/>
        <w:spacing w:line="360" w:lineRule="atLeast"/>
        <w:ind w:firstLine="480"/>
        <w:jc w:val="left"/>
        <w:rPr>
          <w:rFonts w:ascii="微软雅黑" w:hAnsi="微软雅黑" w:eastAsia="微软雅黑" w:cs="宋体"/>
          <w:color w:val="5A5A5A"/>
          <w:kern w:val="0"/>
          <w:sz w:val="24"/>
          <w:szCs w:val="24"/>
        </w:rPr>
      </w:pPr>
      <w:r>
        <w:rPr>
          <w:rFonts w:hint="eastAsia" w:ascii="宋体" w:hAnsi="宋体" w:eastAsia="宋体" w:cs="宋体"/>
          <w:color w:val="5A5A5A"/>
          <w:kern w:val="0"/>
          <w:sz w:val="24"/>
          <w:szCs w:val="24"/>
        </w:rPr>
        <w:t>其他谈判文件要求的证明材料</w:t>
      </w:r>
      <w:r>
        <w:rPr>
          <w:rFonts w:hint="eastAsia" w:ascii="宋体" w:hAnsi="宋体" w:eastAsia="宋体" w:cs="宋体"/>
          <w:b/>
          <w:bCs/>
          <w:color w:val="5A5A5A"/>
          <w:kern w:val="0"/>
          <w:sz w:val="24"/>
          <w:szCs w:val="24"/>
        </w:rPr>
        <w:t>，如营业执照、税务登记证等</w:t>
      </w:r>
      <w:r>
        <w:rPr>
          <w:rFonts w:hint="eastAsia" w:ascii="宋体" w:hAnsi="宋体" w:eastAsia="宋体" w:cs="宋体"/>
          <w:color w:val="5A5A5A"/>
          <w:kern w:val="0"/>
          <w:sz w:val="24"/>
          <w:szCs w:val="24"/>
        </w:rPr>
        <w:t>。</w:t>
      </w:r>
    </w:p>
    <w:p>
      <w:pPr>
        <w:pStyle w:val="6"/>
      </w:pPr>
    </w:p>
    <w:p>
      <w:pPr>
        <w:spacing w:before="624" w:beforeLines="200" w:after="468" w:afterLines="150"/>
        <w:jc w:val="center"/>
        <w:rPr>
          <w:rFonts w:ascii="仿宋_GB2312" w:eastAsia="仿宋_GB2312"/>
          <w:sz w:val="48"/>
          <w:szCs w:val="48"/>
        </w:rPr>
      </w:pPr>
      <w:bookmarkStart w:id="0" w:name="_Hlk38461456"/>
    </w:p>
    <w:p>
      <w:pPr>
        <w:pStyle w:val="2"/>
        <w:rPr>
          <w:rFonts w:ascii="仿宋_GB2312" w:eastAsia="仿宋_GB2312"/>
          <w:sz w:val="48"/>
          <w:szCs w:val="48"/>
        </w:rPr>
      </w:pPr>
    </w:p>
    <w:p>
      <w:pPr>
        <w:pStyle w:val="6"/>
        <w:rPr>
          <w:rFonts w:ascii="仿宋_GB2312" w:eastAsia="仿宋_GB2312"/>
          <w:sz w:val="48"/>
          <w:szCs w:val="48"/>
        </w:rPr>
      </w:pPr>
    </w:p>
    <w:p>
      <w:pPr>
        <w:pStyle w:val="6"/>
        <w:rPr>
          <w:rFonts w:ascii="仿宋_GB2312" w:eastAsia="仿宋_GB2312"/>
          <w:sz w:val="48"/>
          <w:szCs w:val="48"/>
        </w:rPr>
      </w:pPr>
    </w:p>
    <w:p>
      <w:pPr>
        <w:pStyle w:val="6"/>
        <w:rPr>
          <w:rFonts w:ascii="仿宋_GB2312" w:eastAsia="仿宋_GB2312"/>
          <w:sz w:val="48"/>
          <w:szCs w:val="48"/>
        </w:rPr>
      </w:pPr>
    </w:p>
    <w:p>
      <w:pPr>
        <w:pStyle w:val="6"/>
        <w:rPr>
          <w:rFonts w:ascii="仿宋_GB2312" w:eastAsia="仿宋_GB2312"/>
          <w:sz w:val="48"/>
          <w:szCs w:val="48"/>
        </w:rPr>
      </w:pPr>
    </w:p>
    <w:p>
      <w:pPr>
        <w:pStyle w:val="6"/>
        <w:rPr>
          <w:rFonts w:ascii="仿宋_GB2312" w:eastAsia="仿宋_GB2312"/>
          <w:sz w:val="48"/>
          <w:szCs w:val="48"/>
        </w:rPr>
      </w:pPr>
    </w:p>
    <w:p>
      <w:pPr>
        <w:pStyle w:val="6"/>
        <w:rPr>
          <w:rFonts w:ascii="仿宋_GB2312" w:eastAsia="仿宋_GB2312"/>
          <w:sz w:val="48"/>
          <w:szCs w:val="48"/>
        </w:rPr>
      </w:pPr>
    </w:p>
    <w:bookmarkEnd w:id="0"/>
    <w:p>
      <w:pPr>
        <w:spacing w:line="360" w:lineRule="auto"/>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F48B6"/>
    <w:multiLevelType w:val="multilevel"/>
    <w:tmpl w:val="0BCF48B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667982"/>
    <w:multiLevelType w:val="multilevel"/>
    <w:tmpl w:val="63667982"/>
    <w:lvl w:ilvl="0" w:tentative="0">
      <w:start w:val="1"/>
      <w:numFmt w:val="chineseCounting"/>
      <w:pStyle w:val="7"/>
      <w:suff w:val="nothing"/>
      <w:lvlText w:val="%1、"/>
      <w:lvlJc w:val="left"/>
      <w:pPr>
        <w:ind w:left="0" w:firstLine="0"/>
      </w:pPr>
      <w:rPr>
        <w:rFonts w:hint="eastAsia"/>
      </w:rPr>
    </w:lvl>
    <w:lvl w:ilvl="1" w:tentative="0">
      <w:start w:val="1"/>
      <w:numFmt w:val="chineseCounting"/>
      <w:pStyle w:val="8"/>
      <w:suff w:val="nothing"/>
      <w:lvlText w:val="（%2）"/>
      <w:lvlJc w:val="left"/>
      <w:pPr>
        <w:ind w:left="0" w:firstLine="0"/>
      </w:pPr>
      <w:rPr>
        <w:rFonts w:hint="eastAsia"/>
      </w:rPr>
    </w:lvl>
    <w:lvl w:ilvl="2" w:tentative="0">
      <w:start w:val="1"/>
      <w:numFmt w:val="decimal"/>
      <w:pStyle w:val="9"/>
      <w:suff w:val="nothing"/>
      <w:lvlText w:val="%3．"/>
      <w:lvlJc w:val="left"/>
      <w:pPr>
        <w:ind w:left="0" w:firstLine="400"/>
      </w:pPr>
      <w:rPr>
        <w:rFonts w:hint="eastAsia"/>
      </w:rPr>
    </w:lvl>
    <w:lvl w:ilvl="3" w:tentative="0">
      <w:start w:val="1"/>
      <w:numFmt w:val="decimal"/>
      <w:pStyle w:val="10"/>
      <w:suff w:val="nothing"/>
      <w:lvlText w:val="（%4）"/>
      <w:lvlJc w:val="left"/>
      <w:pPr>
        <w:ind w:left="0" w:firstLine="402"/>
      </w:pPr>
      <w:rPr>
        <w:rFonts w:hint="eastAsia"/>
      </w:rPr>
    </w:lvl>
    <w:lvl w:ilvl="4" w:tentative="0">
      <w:start w:val="1"/>
      <w:numFmt w:val="decimalEnclosedCircleChinese"/>
      <w:pStyle w:val="11"/>
      <w:suff w:val="nothing"/>
      <w:lvlText w:val="%5"/>
      <w:lvlJc w:val="left"/>
      <w:pPr>
        <w:ind w:left="0" w:firstLine="402"/>
      </w:pPr>
      <w:rPr>
        <w:rFonts w:hint="eastAsia"/>
      </w:rPr>
    </w:lvl>
    <w:lvl w:ilvl="5" w:tentative="0">
      <w:start w:val="1"/>
      <w:numFmt w:val="decimal"/>
      <w:pStyle w:val="12"/>
      <w:suff w:val="nothing"/>
      <w:lvlText w:val="%6）"/>
      <w:lvlJc w:val="left"/>
      <w:pPr>
        <w:ind w:left="0" w:firstLine="402"/>
      </w:pPr>
      <w:rPr>
        <w:rFonts w:hint="eastAsia"/>
      </w:rPr>
    </w:lvl>
    <w:lvl w:ilvl="6" w:tentative="0">
      <w:start w:val="1"/>
      <w:numFmt w:val="lowerLetter"/>
      <w:pStyle w:val="13"/>
      <w:suff w:val="nothing"/>
      <w:lvlText w:val="%7．"/>
      <w:lvlJc w:val="left"/>
      <w:pPr>
        <w:ind w:left="0" w:firstLine="402"/>
      </w:pPr>
      <w:rPr>
        <w:rFonts w:hint="eastAsia"/>
      </w:rPr>
    </w:lvl>
    <w:lvl w:ilvl="7" w:tentative="0">
      <w:start w:val="1"/>
      <w:numFmt w:val="lowerLetter"/>
      <w:pStyle w:val="14"/>
      <w:suff w:val="nothing"/>
      <w:lvlText w:val="%8）"/>
      <w:lvlJc w:val="left"/>
      <w:pPr>
        <w:ind w:left="0" w:firstLine="402"/>
      </w:pPr>
      <w:rPr>
        <w:rFonts w:hint="eastAsia"/>
      </w:rPr>
    </w:lvl>
    <w:lvl w:ilvl="8" w:tentative="0">
      <w:start w:val="1"/>
      <w:numFmt w:val="lowerRoman"/>
      <w:pStyle w:val="15"/>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BFB116E"/>
    <w:rsid w:val="00041FCA"/>
    <w:rsid w:val="00042BC5"/>
    <w:rsid w:val="00043364"/>
    <w:rsid w:val="00054669"/>
    <w:rsid w:val="00056223"/>
    <w:rsid w:val="000571E6"/>
    <w:rsid w:val="000663A3"/>
    <w:rsid w:val="000D415B"/>
    <w:rsid w:val="000D4D8D"/>
    <w:rsid w:val="000F1401"/>
    <w:rsid w:val="000F41AB"/>
    <w:rsid w:val="001102FF"/>
    <w:rsid w:val="00113AAD"/>
    <w:rsid w:val="001316B3"/>
    <w:rsid w:val="00137B29"/>
    <w:rsid w:val="001651EA"/>
    <w:rsid w:val="001658DC"/>
    <w:rsid w:val="0016648F"/>
    <w:rsid w:val="0016736A"/>
    <w:rsid w:val="00167433"/>
    <w:rsid w:val="00172F04"/>
    <w:rsid w:val="0017470A"/>
    <w:rsid w:val="00182E50"/>
    <w:rsid w:val="00193375"/>
    <w:rsid w:val="001A5FBD"/>
    <w:rsid w:val="001B57CD"/>
    <w:rsid w:val="001D6BCA"/>
    <w:rsid w:val="001F762D"/>
    <w:rsid w:val="00202015"/>
    <w:rsid w:val="00211BDA"/>
    <w:rsid w:val="00224256"/>
    <w:rsid w:val="002267E3"/>
    <w:rsid w:val="00247FF5"/>
    <w:rsid w:val="002719A3"/>
    <w:rsid w:val="00275366"/>
    <w:rsid w:val="00283B3B"/>
    <w:rsid w:val="00284643"/>
    <w:rsid w:val="00295F11"/>
    <w:rsid w:val="002A235C"/>
    <w:rsid w:val="002B017E"/>
    <w:rsid w:val="002B18AA"/>
    <w:rsid w:val="002C3E15"/>
    <w:rsid w:val="002D59CF"/>
    <w:rsid w:val="002F0EF7"/>
    <w:rsid w:val="002F46FC"/>
    <w:rsid w:val="002F76D3"/>
    <w:rsid w:val="003041DF"/>
    <w:rsid w:val="00316FFB"/>
    <w:rsid w:val="0032780B"/>
    <w:rsid w:val="00336504"/>
    <w:rsid w:val="00342564"/>
    <w:rsid w:val="0034274C"/>
    <w:rsid w:val="00346488"/>
    <w:rsid w:val="0036451B"/>
    <w:rsid w:val="00383337"/>
    <w:rsid w:val="00390D3C"/>
    <w:rsid w:val="003B4CBB"/>
    <w:rsid w:val="003D0892"/>
    <w:rsid w:val="003D547B"/>
    <w:rsid w:val="003F0216"/>
    <w:rsid w:val="003F6A91"/>
    <w:rsid w:val="00401004"/>
    <w:rsid w:val="00404C99"/>
    <w:rsid w:val="00411DEB"/>
    <w:rsid w:val="0041360B"/>
    <w:rsid w:val="0041533A"/>
    <w:rsid w:val="004166C6"/>
    <w:rsid w:val="00417394"/>
    <w:rsid w:val="00431B90"/>
    <w:rsid w:val="00463587"/>
    <w:rsid w:val="00465B39"/>
    <w:rsid w:val="00480808"/>
    <w:rsid w:val="004906E7"/>
    <w:rsid w:val="004A3B9B"/>
    <w:rsid w:val="004B266A"/>
    <w:rsid w:val="004C68E5"/>
    <w:rsid w:val="004E55F4"/>
    <w:rsid w:val="00505C83"/>
    <w:rsid w:val="0050658A"/>
    <w:rsid w:val="00507E41"/>
    <w:rsid w:val="00513F18"/>
    <w:rsid w:val="0051478E"/>
    <w:rsid w:val="00517BBD"/>
    <w:rsid w:val="0052787B"/>
    <w:rsid w:val="0053543C"/>
    <w:rsid w:val="00547EBC"/>
    <w:rsid w:val="00573CB0"/>
    <w:rsid w:val="00580004"/>
    <w:rsid w:val="00585B19"/>
    <w:rsid w:val="00593E34"/>
    <w:rsid w:val="00595E30"/>
    <w:rsid w:val="005A0DD5"/>
    <w:rsid w:val="005A45B7"/>
    <w:rsid w:val="005A5E65"/>
    <w:rsid w:val="005B113D"/>
    <w:rsid w:val="005C167E"/>
    <w:rsid w:val="005C6D89"/>
    <w:rsid w:val="005C703D"/>
    <w:rsid w:val="005D272E"/>
    <w:rsid w:val="005D60D3"/>
    <w:rsid w:val="005F6B02"/>
    <w:rsid w:val="00601C34"/>
    <w:rsid w:val="006331C8"/>
    <w:rsid w:val="00640719"/>
    <w:rsid w:val="00644BE4"/>
    <w:rsid w:val="00647A69"/>
    <w:rsid w:val="00673117"/>
    <w:rsid w:val="00677316"/>
    <w:rsid w:val="00694EF6"/>
    <w:rsid w:val="006A1E00"/>
    <w:rsid w:val="006C215C"/>
    <w:rsid w:val="006C4A1D"/>
    <w:rsid w:val="006D34CD"/>
    <w:rsid w:val="006D3876"/>
    <w:rsid w:val="006D5884"/>
    <w:rsid w:val="00700C25"/>
    <w:rsid w:val="00702187"/>
    <w:rsid w:val="0071409A"/>
    <w:rsid w:val="00714165"/>
    <w:rsid w:val="0072378D"/>
    <w:rsid w:val="00731EB6"/>
    <w:rsid w:val="007618B4"/>
    <w:rsid w:val="00771FC5"/>
    <w:rsid w:val="00786134"/>
    <w:rsid w:val="007B6729"/>
    <w:rsid w:val="007C2C32"/>
    <w:rsid w:val="007C457D"/>
    <w:rsid w:val="007C4BB1"/>
    <w:rsid w:val="007D458B"/>
    <w:rsid w:val="007D495D"/>
    <w:rsid w:val="007D62CA"/>
    <w:rsid w:val="008153F2"/>
    <w:rsid w:val="00826C7E"/>
    <w:rsid w:val="00840C64"/>
    <w:rsid w:val="0085191E"/>
    <w:rsid w:val="00854476"/>
    <w:rsid w:val="00856C21"/>
    <w:rsid w:val="00860252"/>
    <w:rsid w:val="00884417"/>
    <w:rsid w:val="008B3049"/>
    <w:rsid w:val="008C005B"/>
    <w:rsid w:val="008C012B"/>
    <w:rsid w:val="008C3A9A"/>
    <w:rsid w:val="008C63CB"/>
    <w:rsid w:val="008C6D5E"/>
    <w:rsid w:val="008F0A4C"/>
    <w:rsid w:val="008F74EE"/>
    <w:rsid w:val="00906407"/>
    <w:rsid w:val="009251FD"/>
    <w:rsid w:val="00932F06"/>
    <w:rsid w:val="00934ABD"/>
    <w:rsid w:val="009358BF"/>
    <w:rsid w:val="00940ADC"/>
    <w:rsid w:val="00946DAA"/>
    <w:rsid w:val="00947336"/>
    <w:rsid w:val="00967D5A"/>
    <w:rsid w:val="00971B21"/>
    <w:rsid w:val="00974AC5"/>
    <w:rsid w:val="00982C50"/>
    <w:rsid w:val="0099415F"/>
    <w:rsid w:val="00996BB8"/>
    <w:rsid w:val="009A511B"/>
    <w:rsid w:val="009A5BBE"/>
    <w:rsid w:val="009D32E1"/>
    <w:rsid w:val="009E79CC"/>
    <w:rsid w:val="009F10AD"/>
    <w:rsid w:val="00A01077"/>
    <w:rsid w:val="00A33F04"/>
    <w:rsid w:val="00A4412D"/>
    <w:rsid w:val="00A46E26"/>
    <w:rsid w:val="00A541CB"/>
    <w:rsid w:val="00A62731"/>
    <w:rsid w:val="00A7019F"/>
    <w:rsid w:val="00A733D4"/>
    <w:rsid w:val="00A963A2"/>
    <w:rsid w:val="00AA6BA5"/>
    <w:rsid w:val="00AB4264"/>
    <w:rsid w:val="00AB5A1C"/>
    <w:rsid w:val="00AD3330"/>
    <w:rsid w:val="00AE4CAF"/>
    <w:rsid w:val="00AF2139"/>
    <w:rsid w:val="00AF41D7"/>
    <w:rsid w:val="00AF4A3F"/>
    <w:rsid w:val="00AF6A7A"/>
    <w:rsid w:val="00AF6DF6"/>
    <w:rsid w:val="00B139C8"/>
    <w:rsid w:val="00B21EAB"/>
    <w:rsid w:val="00B45472"/>
    <w:rsid w:val="00B45F87"/>
    <w:rsid w:val="00B463FF"/>
    <w:rsid w:val="00B53AF4"/>
    <w:rsid w:val="00B60FF5"/>
    <w:rsid w:val="00B8796C"/>
    <w:rsid w:val="00B91EF5"/>
    <w:rsid w:val="00BA5D0C"/>
    <w:rsid w:val="00BC3373"/>
    <w:rsid w:val="00BC60CF"/>
    <w:rsid w:val="00BE50DE"/>
    <w:rsid w:val="00BF209C"/>
    <w:rsid w:val="00C0453E"/>
    <w:rsid w:val="00C04B5B"/>
    <w:rsid w:val="00C05EAF"/>
    <w:rsid w:val="00C14642"/>
    <w:rsid w:val="00C168C4"/>
    <w:rsid w:val="00C25D1B"/>
    <w:rsid w:val="00C31042"/>
    <w:rsid w:val="00C5227D"/>
    <w:rsid w:val="00C64931"/>
    <w:rsid w:val="00C714F0"/>
    <w:rsid w:val="00C84A78"/>
    <w:rsid w:val="00C92AEB"/>
    <w:rsid w:val="00C9310E"/>
    <w:rsid w:val="00C95976"/>
    <w:rsid w:val="00C96645"/>
    <w:rsid w:val="00CA5788"/>
    <w:rsid w:val="00CB6A43"/>
    <w:rsid w:val="00CC1656"/>
    <w:rsid w:val="00CD2C9A"/>
    <w:rsid w:val="00CD3486"/>
    <w:rsid w:val="00CD7B9A"/>
    <w:rsid w:val="00CE1104"/>
    <w:rsid w:val="00D8485B"/>
    <w:rsid w:val="00D8680C"/>
    <w:rsid w:val="00D9350E"/>
    <w:rsid w:val="00DB1361"/>
    <w:rsid w:val="00DD631A"/>
    <w:rsid w:val="00DE14FE"/>
    <w:rsid w:val="00DE2A1E"/>
    <w:rsid w:val="00DE4AE7"/>
    <w:rsid w:val="00DF4259"/>
    <w:rsid w:val="00E04E9D"/>
    <w:rsid w:val="00E055B2"/>
    <w:rsid w:val="00E16371"/>
    <w:rsid w:val="00E26088"/>
    <w:rsid w:val="00E4213E"/>
    <w:rsid w:val="00E84D4F"/>
    <w:rsid w:val="00E8603E"/>
    <w:rsid w:val="00EA4131"/>
    <w:rsid w:val="00EA6C76"/>
    <w:rsid w:val="00EB53ED"/>
    <w:rsid w:val="00EB6F7C"/>
    <w:rsid w:val="00EB7187"/>
    <w:rsid w:val="00ED4DE9"/>
    <w:rsid w:val="00ED6A1B"/>
    <w:rsid w:val="00EE7B91"/>
    <w:rsid w:val="00F07323"/>
    <w:rsid w:val="00F10952"/>
    <w:rsid w:val="00F25326"/>
    <w:rsid w:val="00F447BC"/>
    <w:rsid w:val="00F50BD6"/>
    <w:rsid w:val="00F54048"/>
    <w:rsid w:val="00F60997"/>
    <w:rsid w:val="00F806FA"/>
    <w:rsid w:val="00F90E3B"/>
    <w:rsid w:val="00FA3EC7"/>
    <w:rsid w:val="00FA4CEB"/>
    <w:rsid w:val="00FD1B44"/>
    <w:rsid w:val="00FD4EED"/>
    <w:rsid w:val="00FF19E7"/>
    <w:rsid w:val="012416B7"/>
    <w:rsid w:val="01883456"/>
    <w:rsid w:val="0265124B"/>
    <w:rsid w:val="03A54557"/>
    <w:rsid w:val="04223C9D"/>
    <w:rsid w:val="04B05649"/>
    <w:rsid w:val="04F77654"/>
    <w:rsid w:val="06874F13"/>
    <w:rsid w:val="069E4F88"/>
    <w:rsid w:val="06D40417"/>
    <w:rsid w:val="083E2F6B"/>
    <w:rsid w:val="09CD0550"/>
    <w:rsid w:val="0C6E5E84"/>
    <w:rsid w:val="0DD34156"/>
    <w:rsid w:val="0E2B27D9"/>
    <w:rsid w:val="0EFF1DF2"/>
    <w:rsid w:val="0FBC21FF"/>
    <w:rsid w:val="118A64D5"/>
    <w:rsid w:val="12334547"/>
    <w:rsid w:val="129461AD"/>
    <w:rsid w:val="12A40542"/>
    <w:rsid w:val="131A5A11"/>
    <w:rsid w:val="13B84A92"/>
    <w:rsid w:val="14ED366F"/>
    <w:rsid w:val="15184BF3"/>
    <w:rsid w:val="153807FD"/>
    <w:rsid w:val="153B466C"/>
    <w:rsid w:val="15DD2D73"/>
    <w:rsid w:val="161D3D6B"/>
    <w:rsid w:val="1706633F"/>
    <w:rsid w:val="174A4F76"/>
    <w:rsid w:val="178E3EF0"/>
    <w:rsid w:val="17C07F9E"/>
    <w:rsid w:val="17E724CD"/>
    <w:rsid w:val="17F80D7E"/>
    <w:rsid w:val="18A8233A"/>
    <w:rsid w:val="18C14DDF"/>
    <w:rsid w:val="18E96D53"/>
    <w:rsid w:val="1A4052B6"/>
    <w:rsid w:val="1A6E17A2"/>
    <w:rsid w:val="1ACB35B1"/>
    <w:rsid w:val="1ADB076A"/>
    <w:rsid w:val="1B397F96"/>
    <w:rsid w:val="1BA65E98"/>
    <w:rsid w:val="1BD70E9E"/>
    <w:rsid w:val="1CA0555C"/>
    <w:rsid w:val="1DDB8C26"/>
    <w:rsid w:val="1EDC42EE"/>
    <w:rsid w:val="1F0D7530"/>
    <w:rsid w:val="1F7BF6AE"/>
    <w:rsid w:val="1F7F7782"/>
    <w:rsid w:val="1FBFA7CB"/>
    <w:rsid w:val="206543E1"/>
    <w:rsid w:val="20A21E92"/>
    <w:rsid w:val="214072CE"/>
    <w:rsid w:val="21A67760"/>
    <w:rsid w:val="220D318F"/>
    <w:rsid w:val="23E261E9"/>
    <w:rsid w:val="23FF3EFE"/>
    <w:rsid w:val="24867E33"/>
    <w:rsid w:val="24C110A9"/>
    <w:rsid w:val="252F1D52"/>
    <w:rsid w:val="253F5CEC"/>
    <w:rsid w:val="25C838C3"/>
    <w:rsid w:val="25C8F66F"/>
    <w:rsid w:val="25DCA26B"/>
    <w:rsid w:val="25DF6C93"/>
    <w:rsid w:val="26354727"/>
    <w:rsid w:val="27194E78"/>
    <w:rsid w:val="27F86C84"/>
    <w:rsid w:val="27F97694"/>
    <w:rsid w:val="2A68951F"/>
    <w:rsid w:val="2AC27924"/>
    <w:rsid w:val="2B2B0BAA"/>
    <w:rsid w:val="2B4D2E44"/>
    <w:rsid w:val="2B606BD1"/>
    <w:rsid w:val="2B6725A0"/>
    <w:rsid w:val="2C351F13"/>
    <w:rsid w:val="2DDB7B61"/>
    <w:rsid w:val="2E2EF3DC"/>
    <w:rsid w:val="2E9C69D9"/>
    <w:rsid w:val="2EE78582"/>
    <w:rsid w:val="2EFE5975"/>
    <w:rsid w:val="2FB7AE64"/>
    <w:rsid w:val="2FD59232"/>
    <w:rsid w:val="2FEE747E"/>
    <w:rsid w:val="30111845"/>
    <w:rsid w:val="30840D09"/>
    <w:rsid w:val="309B0587"/>
    <w:rsid w:val="32233BF3"/>
    <w:rsid w:val="329BFEBD"/>
    <w:rsid w:val="32C62B4E"/>
    <w:rsid w:val="32DE285C"/>
    <w:rsid w:val="332A0566"/>
    <w:rsid w:val="333E305D"/>
    <w:rsid w:val="33FBE00C"/>
    <w:rsid w:val="35386E11"/>
    <w:rsid w:val="355E2C8D"/>
    <w:rsid w:val="35FF2D81"/>
    <w:rsid w:val="36E95AF1"/>
    <w:rsid w:val="376D718A"/>
    <w:rsid w:val="37AA3902"/>
    <w:rsid w:val="37F68857"/>
    <w:rsid w:val="37FB139F"/>
    <w:rsid w:val="37FE03E2"/>
    <w:rsid w:val="381B4D19"/>
    <w:rsid w:val="398863FE"/>
    <w:rsid w:val="39DBB6B1"/>
    <w:rsid w:val="3AB42A96"/>
    <w:rsid w:val="3AD62A0C"/>
    <w:rsid w:val="3AFF1404"/>
    <w:rsid w:val="3B2BE58F"/>
    <w:rsid w:val="3B6873BF"/>
    <w:rsid w:val="3BBFE8ED"/>
    <w:rsid w:val="3BDF57B0"/>
    <w:rsid w:val="3BFD4B52"/>
    <w:rsid w:val="3C0215F1"/>
    <w:rsid w:val="3CED5DA2"/>
    <w:rsid w:val="3D0F0A4C"/>
    <w:rsid w:val="3D7A57E3"/>
    <w:rsid w:val="3DF78616"/>
    <w:rsid w:val="3DFB937A"/>
    <w:rsid w:val="3E151A9D"/>
    <w:rsid w:val="3E1C5217"/>
    <w:rsid w:val="3E7BB97A"/>
    <w:rsid w:val="3EB2FF35"/>
    <w:rsid w:val="3EF75162"/>
    <w:rsid w:val="3EFA24BE"/>
    <w:rsid w:val="3F064879"/>
    <w:rsid w:val="3F072807"/>
    <w:rsid w:val="3F2FA7F2"/>
    <w:rsid w:val="3F7902D2"/>
    <w:rsid w:val="3F7F301A"/>
    <w:rsid w:val="3FB3C3E2"/>
    <w:rsid w:val="3FBB5BD2"/>
    <w:rsid w:val="3FBB80D9"/>
    <w:rsid w:val="3FBE923A"/>
    <w:rsid w:val="3FEB0F43"/>
    <w:rsid w:val="3FF58B92"/>
    <w:rsid w:val="3FFEE27C"/>
    <w:rsid w:val="3FFF5541"/>
    <w:rsid w:val="3FFF826E"/>
    <w:rsid w:val="40F41E3E"/>
    <w:rsid w:val="414B482F"/>
    <w:rsid w:val="42054BFE"/>
    <w:rsid w:val="4207641B"/>
    <w:rsid w:val="421A003A"/>
    <w:rsid w:val="42760E3E"/>
    <w:rsid w:val="42834680"/>
    <w:rsid w:val="42AE64F0"/>
    <w:rsid w:val="444B5773"/>
    <w:rsid w:val="446459ED"/>
    <w:rsid w:val="448A7389"/>
    <w:rsid w:val="45262C52"/>
    <w:rsid w:val="45C91359"/>
    <w:rsid w:val="461D7AC9"/>
    <w:rsid w:val="46E110B6"/>
    <w:rsid w:val="470F1300"/>
    <w:rsid w:val="47201426"/>
    <w:rsid w:val="475C25D5"/>
    <w:rsid w:val="47CA5296"/>
    <w:rsid w:val="47DFB00C"/>
    <w:rsid w:val="47FFD57E"/>
    <w:rsid w:val="484372DA"/>
    <w:rsid w:val="49683FAF"/>
    <w:rsid w:val="49690EEF"/>
    <w:rsid w:val="498F6AF7"/>
    <w:rsid w:val="49B22298"/>
    <w:rsid w:val="49F77B41"/>
    <w:rsid w:val="49FF2793"/>
    <w:rsid w:val="4A6F2139"/>
    <w:rsid w:val="4A8161C5"/>
    <w:rsid w:val="4B720EE6"/>
    <w:rsid w:val="4B8D676D"/>
    <w:rsid w:val="4BA740D6"/>
    <w:rsid w:val="4BFD03B3"/>
    <w:rsid w:val="4C05469A"/>
    <w:rsid w:val="4C1E0D57"/>
    <w:rsid w:val="4C7C77D2"/>
    <w:rsid w:val="4CFE04A6"/>
    <w:rsid w:val="4DCF8C94"/>
    <w:rsid w:val="4F9CBADE"/>
    <w:rsid w:val="4FDDCB84"/>
    <w:rsid w:val="4FFE4D17"/>
    <w:rsid w:val="50FE6201"/>
    <w:rsid w:val="510B7A23"/>
    <w:rsid w:val="51496DAA"/>
    <w:rsid w:val="515E2DCA"/>
    <w:rsid w:val="51DFFF9A"/>
    <w:rsid w:val="522A6DBA"/>
    <w:rsid w:val="55E279FA"/>
    <w:rsid w:val="5636E4C1"/>
    <w:rsid w:val="563FC433"/>
    <w:rsid w:val="56AE3C3F"/>
    <w:rsid w:val="56FF46A2"/>
    <w:rsid w:val="573D59D3"/>
    <w:rsid w:val="57B9443A"/>
    <w:rsid w:val="57EF41AF"/>
    <w:rsid w:val="588F39DA"/>
    <w:rsid w:val="598372C3"/>
    <w:rsid w:val="59CFA539"/>
    <w:rsid w:val="59FA9AA3"/>
    <w:rsid w:val="5AEE5B4E"/>
    <w:rsid w:val="5AFFB07E"/>
    <w:rsid w:val="5B7C6C78"/>
    <w:rsid w:val="5BBFEF7A"/>
    <w:rsid w:val="5CDBA45D"/>
    <w:rsid w:val="5CDF8A66"/>
    <w:rsid w:val="5D076A9E"/>
    <w:rsid w:val="5D7E08E2"/>
    <w:rsid w:val="5DBD318D"/>
    <w:rsid w:val="5DFB3B1E"/>
    <w:rsid w:val="5E0A45F7"/>
    <w:rsid w:val="5E5FC4AD"/>
    <w:rsid w:val="5EB77CCB"/>
    <w:rsid w:val="5EBA711B"/>
    <w:rsid w:val="5EDBF771"/>
    <w:rsid w:val="5EFF2BDE"/>
    <w:rsid w:val="5F1C6D29"/>
    <w:rsid w:val="5FA91B9F"/>
    <w:rsid w:val="5FBDE924"/>
    <w:rsid w:val="5FBFCE3A"/>
    <w:rsid w:val="5FDD6BA9"/>
    <w:rsid w:val="5FDEA6B3"/>
    <w:rsid w:val="5FF3EA12"/>
    <w:rsid w:val="5FFEC642"/>
    <w:rsid w:val="5FFF7EFD"/>
    <w:rsid w:val="604B5A1B"/>
    <w:rsid w:val="61CF1FB6"/>
    <w:rsid w:val="623B7475"/>
    <w:rsid w:val="639F3BAD"/>
    <w:rsid w:val="63B7DC2E"/>
    <w:rsid w:val="64737057"/>
    <w:rsid w:val="64B15A1A"/>
    <w:rsid w:val="64F79C44"/>
    <w:rsid w:val="65257F68"/>
    <w:rsid w:val="655A22CA"/>
    <w:rsid w:val="65B7197B"/>
    <w:rsid w:val="65EE0692"/>
    <w:rsid w:val="6679884B"/>
    <w:rsid w:val="66F15DBC"/>
    <w:rsid w:val="675322D7"/>
    <w:rsid w:val="677D7A78"/>
    <w:rsid w:val="679F5E02"/>
    <w:rsid w:val="67A25272"/>
    <w:rsid w:val="67B0276B"/>
    <w:rsid w:val="67FBCB88"/>
    <w:rsid w:val="68A36C9C"/>
    <w:rsid w:val="68CB9C2B"/>
    <w:rsid w:val="691B410F"/>
    <w:rsid w:val="69E59938"/>
    <w:rsid w:val="6AB368F2"/>
    <w:rsid w:val="6B5EBA87"/>
    <w:rsid w:val="6B5F795A"/>
    <w:rsid w:val="6BD574C1"/>
    <w:rsid w:val="6BDE0AD6"/>
    <w:rsid w:val="6CB11085"/>
    <w:rsid w:val="6CFB7E18"/>
    <w:rsid w:val="6DE2733E"/>
    <w:rsid w:val="6E983E2C"/>
    <w:rsid w:val="6EEE817D"/>
    <w:rsid w:val="6EF1222E"/>
    <w:rsid w:val="6F47DB95"/>
    <w:rsid w:val="6F62325E"/>
    <w:rsid w:val="6F751209"/>
    <w:rsid w:val="6F7BEA2D"/>
    <w:rsid w:val="6F7FF9AE"/>
    <w:rsid w:val="6F81F3C6"/>
    <w:rsid w:val="6FAA1316"/>
    <w:rsid w:val="6FAF6FA7"/>
    <w:rsid w:val="6FB1C365"/>
    <w:rsid w:val="6FE86D98"/>
    <w:rsid w:val="6FEE947C"/>
    <w:rsid w:val="6FEF039D"/>
    <w:rsid w:val="6FEFCA81"/>
    <w:rsid w:val="6FF68B45"/>
    <w:rsid w:val="6FF7416B"/>
    <w:rsid w:val="6FF94614"/>
    <w:rsid w:val="6FFBF54F"/>
    <w:rsid w:val="6FFF5147"/>
    <w:rsid w:val="6FFF741A"/>
    <w:rsid w:val="7298621E"/>
    <w:rsid w:val="72DDD236"/>
    <w:rsid w:val="72EEA613"/>
    <w:rsid w:val="73D75CA7"/>
    <w:rsid w:val="74193873"/>
    <w:rsid w:val="74485A21"/>
    <w:rsid w:val="74FDA14A"/>
    <w:rsid w:val="75172769"/>
    <w:rsid w:val="757F3A9A"/>
    <w:rsid w:val="759A19D7"/>
    <w:rsid w:val="75CD4B2A"/>
    <w:rsid w:val="75D6499E"/>
    <w:rsid w:val="75FB08CE"/>
    <w:rsid w:val="75FB17E0"/>
    <w:rsid w:val="75FD1E6F"/>
    <w:rsid w:val="75FDD825"/>
    <w:rsid w:val="76759D13"/>
    <w:rsid w:val="768333C4"/>
    <w:rsid w:val="76D7BB56"/>
    <w:rsid w:val="775FF42F"/>
    <w:rsid w:val="77BF0676"/>
    <w:rsid w:val="77DB9DBE"/>
    <w:rsid w:val="77E991DF"/>
    <w:rsid w:val="77EFDCAD"/>
    <w:rsid w:val="77F30760"/>
    <w:rsid w:val="77F79547"/>
    <w:rsid w:val="77F7C7A8"/>
    <w:rsid w:val="77FE0422"/>
    <w:rsid w:val="789DE81A"/>
    <w:rsid w:val="78B62BBB"/>
    <w:rsid w:val="79256331"/>
    <w:rsid w:val="7963A7E2"/>
    <w:rsid w:val="79BB256E"/>
    <w:rsid w:val="79FBB350"/>
    <w:rsid w:val="7A5F8B64"/>
    <w:rsid w:val="7A6F91D2"/>
    <w:rsid w:val="7AC7EF2D"/>
    <w:rsid w:val="7AF648C3"/>
    <w:rsid w:val="7AFF784A"/>
    <w:rsid w:val="7B5853E6"/>
    <w:rsid w:val="7B6726D8"/>
    <w:rsid w:val="7B746374"/>
    <w:rsid w:val="7B76F0CA"/>
    <w:rsid w:val="7B7BAFD3"/>
    <w:rsid w:val="7BB83CE0"/>
    <w:rsid w:val="7BBA4C58"/>
    <w:rsid w:val="7BBA7571"/>
    <w:rsid w:val="7BD1E2AE"/>
    <w:rsid w:val="7BDCBB6E"/>
    <w:rsid w:val="7BE2B15F"/>
    <w:rsid w:val="7BFB7B39"/>
    <w:rsid w:val="7BFF3785"/>
    <w:rsid w:val="7BFFED41"/>
    <w:rsid w:val="7CE92A58"/>
    <w:rsid w:val="7CFAB641"/>
    <w:rsid w:val="7CFDB4FC"/>
    <w:rsid w:val="7CFF617D"/>
    <w:rsid w:val="7D0A2B0C"/>
    <w:rsid w:val="7D0A7D6C"/>
    <w:rsid w:val="7D35266F"/>
    <w:rsid w:val="7D7EDC80"/>
    <w:rsid w:val="7DA24612"/>
    <w:rsid w:val="7DCC6AF8"/>
    <w:rsid w:val="7DEB0C15"/>
    <w:rsid w:val="7DEDCF11"/>
    <w:rsid w:val="7DF38A05"/>
    <w:rsid w:val="7DFD857A"/>
    <w:rsid w:val="7DFEC9C3"/>
    <w:rsid w:val="7E3FAB07"/>
    <w:rsid w:val="7E4DBBE7"/>
    <w:rsid w:val="7E711F1A"/>
    <w:rsid w:val="7E73268E"/>
    <w:rsid w:val="7E7E57B5"/>
    <w:rsid w:val="7ED20859"/>
    <w:rsid w:val="7EF34E08"/>
    <w:rsid w:val="7EF6E111"/>
    <w:rsid w:val="7EF7147E"/>
    <w:rsid w:val="7EF9C216"/>
    <w:rsid w:val="7EFB7191"/>
    <w:rsid w:val="7EFF1CDA"/>
    <w:rsid w:val="7EFF3685"/>
    <w:rsid w:val="7F6EFCD9"/>
    <w:rsid w:val="7F7DD03C"/>
    <w:rsid w:val="7F7FC297"/>
    <w:rsid w:val="7F8D0E9C"/>
    <w:rsid w:val="7F8FB122"/>
    <w:rsid w:val="7F983089"/>
    <w:rsid w:val="7FA3223F"/>
    <w:rsid w:val="7FB7F9BE"/>
    <w:rsid w:val="7FBDF202"/>
    <w:rsid w:val="7FBF6277"/>
    <w:rsid w:val="7FEF7972"/>
    <w:rsid w:val="7FF6B73A"/>
    <w:rsid w:val="7FFA9DC5"/>
    <w:rsid w:val="7FFB364D"/>
    <w:rsid w:val="7FFD1A5B"/>
    <w:rsid w:val="7FFE067E"/>
    <w:rsid w:val="7FFF20DC"/>
    <w:rsid w:val="813F50A5"/>
    <w:rsid w:val="873FF2B2"/>
    <w:rsid w:val="95F62DDF"/>
    <w:rsid w:val="96FB920D"/>
    <w:rsid w:val="97F73330"/>
    <w:rsid w:val="98FFDAC8"/>
    <w:rsid w:val="9BFA64CC"/>
    <w:rsid w:val="9D7D55CB"/>
    <w:rsid w:val="9D87474F"/>
    <w:rsid w:val="9DF35C9E"/>
    <w:rsid w:val="9F7F8AC9"/>
    <w:rsid w:val="9FAF857C"/>
    <w:rsid w:val="9FB3C8FA"/>
    <w:rsid w:val="9FEFABCB"/>
    <w:rsid w:val="9FFBB0F1"/>
    <w:rsid w:val="A2B7A119"/>
    <w:rsid w:val="A9BF2CE2"/>
    <w:rsid w:val="A9EFE1DD"/>
    <w:rsid w:val="AA352003"/>
    <w:rsid w:val="AAAFEA42"/>
    <w:rsid w:val="AB9E6EAF"/>
    <w:rsid w:val="ACE1AD7C"/>
    <w:rsid w:val="AD9EAA31"/>
    <w:rsid w:val="ADBF1B6D"/>
    <w:rsid w:val="AE522A6E"/>
    <w:rsid w:val="AE718150"/>
    <w:rsid w:val="AEB92DE7"/>
    <w:rsid w:val="AF7F7FBE"/>
    <w:rsid w:val="AF7FE029"/>
    <w:rsid w:val="AFBA48F8"/>
    <w:rsid w:val="AFDFEAEA"/>
    <w:rsid w:val="AFF195D8"/>
    <w:rsid w:val="AFF73A60"/>
    <w:rsid w:val="AFFC1689"/>
    <w:rsid w:val="B3276DD4"/>
    <w:rsid w:val="B4FF5C8B"/>
    <w:rsid w:val="B5FD0CED"/>
    <w:rsid w:val="B66BD516"/>
    <w:rsid w:val="B6FF7D23"/>
    <w:rsid w:val="B6FFE7F5"/>
    <w:rsid w:val="B77FAAF1"/>
    <w:rsid w:val="B7D7B99C"/>
    <w:rsid w:val="B7FF34C1"/>
    <w:rsid w:val="B8B78542"/>
    <w:rsid w:val="BBF98BF1"/>
    <w:rsid w:val="BCEBD48D"/>
    <w:rsid w:val="BD3FF2E1"/>
    <w:rsid w:val="BE5F2BF0"/>
    <w:rsid w:val="BEE3F773"/>
    <w:rsid w:val="BEE55862"/>
    <w:rsid w:val="BEEEDC81"/>
    <w:rsid w:val="BEF6769E"/>
    <w:rsid w:val="BEF7DCC7"/>
    <w:rsid w:val="BEFFF81F"/>
    <w:rsid w:val="BF2F5493"/>
    <w:rsid w:val="BF376278"/>
    <w:rsid w:val="BF532336"/>
    <w:rsid w:val="BF9A1C38"/>
    <w:rsid w:val="BFB74346"/>
    <w:rsid w:val="BFF632EA"/>
    <w:rsid w:val="BFFE00AA"/>
    <w:rsid w:val="BFFF535F"/>
    <w:rsid w:val="BFFFB2F8"/>
    <w:rsid w:val="BFFFF186"/>
    <w:rsid w:val="C2DD2BCC"/>
    <w:rsid w:val="CB79838C"/>
    <w:rsid w:val="CEE9A8ED"/>
    <w:rsid w:val="CEF7D351"/>
    <w:rsid w:val="CFFB68EC"/>
    <w:rsid w:val="D1BE0420"/>
    <w:rsid w:val="D1DF10E3"/>
    <w:rsid w:val="D36CDCCE"/>
    <w:rsid w:val="D56E8871"/>
    <w:rsid w:val="D5F6B803"/>
    <w:rsid w:val="D5F79791"/>
    <w:rsid w:val="D5FF1D1D"/>
    <w:rsid w:val="D5FF9DA5"/>
    <w:rsid w:val="D6D67723"/>
    <w:rsid w:val="D6FB3929"/>
    <w:rsid w:val="D72F75BD"/>
    <w:rsid w:val="D866BD79"/>
    <w:rsid w:val="D87FC7FD"/>
    <w:rsid w:val="DBDF09A3"/>
    <w:rsid w:val="DBF7AD94"/>
    <w:rsid w:val="DBFB8587"/>
    <w:rsid w:val="DCFF6FDA"/>
    <w:rsid w:val="DDBF243E"/>
    <w:rsid w:val="DDFFAC95"/>
    <w:rsid w:val="DE7D6079"/>
    <w:rsid w:val="DEFD4C9B"/>
    <w:rsid w:val="DF0FD702"/>
    <w:rsid w:val="DF1AEA20"/>
    <w:rsid w:val="DF3DD438"/>
    <w:rsid w:val="DF47386E"/>
    <w:rsid w:val="DF57B694"/>
    <w:rsid w:val="DF7FFD03"/>
    <w:rsid w:val="DFBFB3EA"/>
    <w:rsid w:val="DFBFE10C"/>
    <w:rsid w:val="DFCF48DD"/>
    <w:rsid w:val="DFDFB4DA"/>
    <w:rsid w:val="DFF35B28"/>
    <w:rsid w:val="DFF585C3"/>
    <w:rsid w:val="DFFFD7FA"/>
    <w:rsid w:val="E3B75790"/>
    <w:rsid w:val="E75DBF10"/>
    <w:rsid w:val="E7BE9A5E"/>
    <w:rsid w:val="E7DDF730"/>
    <w:rsid w:val="E8FF5D4E"/>
    <w:rsid w:val="E9760103"/>
    <w:rsid w:val="E9D7C188"/>
    <w:rsid w:val="EB753C78"/>
    <w:rsid w:val="EBADBD39"/>
    <w:rsid w:val="EBDD09C9"/>
    <w:rsid w:val="EBF5D844"/>
    <w:rsid w:val="EBFCB004"/>
    <w:rsid w:val="ECB7A66E"/>
    <w:rsid w:val="ED5F7A0C"/>
    <w:rsid w:val="EE7713A1"/>
    <w:rsid w:val="EE7D7586"/>
    <w:rsid w:val="EEAE01B3"/>
    <w:rsid w:val="EED88937"/>
    <w:rsid w:val="EEDFFB3B"/>
    <w:rsid w:val="EF2B9C9F"/>
    <w:rsid w:val="EF7B3D97"/>
    <w:rsid w:val="EF7F6020"/>
    <w:rsid w:val="EFDDEF0B"/>
    <w:rsid w:val="EFDF90C6"/>
    <w:rsid w:val="EFEDFDE9"/>
    <w:rsid w:val="EFEF3455"/>
    <w:rsid w:val="EFFC6AE1"/>
    <w:rsid w:val="F0B519F7"/>
    <w:rsid w:val="F127A948"/>
    <w:rsid w:val="F27F54CF"/>
    <w:rsid w:val="F37F4A62"/>
    <w:rsid w:val="F4CD11A6"/>
    <w:rsid w:val="F5B3055C"/>
    <w:rsid w:val="F5EF5ACD"/>
    <w:rsid w:val="F6BF8956"/>
    <w:rsid w:val="F6FF4463"/>
    <w:rsid w:val="F70FD0B8"/>
    <w:rsid w:val="F74FEC59"/>
    <w:rsid w:val="F75E955C"/>
    <w:rsid w:val="F77BB055"/>
    <w:rsid w:val="F77F9F9B"/>
    <w:rsid w:val="F7B2AD1F"/>
    <w:rsid w:val="F7B6492B"/>
    <w:rsid w:val="F7BD7F0B"/>
    <w:rsid w:val="F7D9B7C3"/>
    <w:rsid w:val="F7F7D6A1"/>
    <w:rsid w:val="F7FE8C19"/>
    <w:rsid w:val="F7FF76A2"/>
    <w:rsid w:val="F7FF9FDB"/>
    <w:rsid w:val="F7FFB356"/>
    <w:rsid w:val="F8FE7E8D"/>
    <w:rsid w:val="F9259816"/>
    <w:rsid w:val="F9BB06D9"/>
    <w:rsid w:val="F9BCDD31"/>
    <w:rsid w:val="FABB4FB4"/>
    <w:rsid w:val="FAD7EAEA"/>
    <w:rsid w:val="FB2FB88F"/>
    <w:rsid w:val="FBAFFE43"/>
    <w:rsid w:val="FBDF06CD"/>
    <w:rsid w:val="FBDF37D1"/>
    <w:rsid w:val="FBEA7481"/>
    <w:rsid w:val="FBFB116E"/>
    <w:rsid w:val="FBFBD823"/>
    <w:rsid w:val="FBFF93A0"/>
    <w:rsid w:val="FC9FFED2"/>
    <w:rsid w:val="FCFF14E9"/>
    <w:rsid w:val="FCFFC4C3"/>
    <w:rsid w:val="FCFFD573"/>
    <w:rsid w:val="FD0F4A96"/>
    <w:rsid w:val="FD196D6F"/>
    <w:rsid w:val="FD7FB75C"/>
    <w:rsid w:val="FD9BE756"/>
    <w:rsid w:val="FD9D50B6"/>
    <w:rsid w:val="FDEDDB32"/>
    <w:rsid w:val="FDF6B531"/>
    <w:rsid w:val="FDF7BA0A"/>
    <w:rsid w:val="FDFDD969"/>
    <w:rsid w:val="FDFE188B"/>
    <w:rsid w:val="FDFFBA9A"/>
    <w:rsid w:val="FE1E951E"/>
    <w:rsid w:val="FE5BB694"/>
    <w:rsid w:val="FE5F50A6"/>
    <w:rsid w:val="FE6A457C"/>
    <w:rsid w:val="FE760F16"/>
    <w:rsid w:val="FE9B9012"/>
    <w:rsid w:val="FEE72FF5"/>
    <w:rsid w:val="FEF36A0E"/>
    <w:rsid w:val="FEFE8925"/>
    <w:rsid w:val="FEFF7903"/>
    <w:rsid w:val="FEFF866B"/>
    <w:rsid w:val="FEFFF9AB"/>
    <w:rsid w:val="FF0F0917"/>
    <w:rsid w:val="FF571734"/>
    <w:rsid w:val="FF579A34"/>
    <w:rsid w:val="FF82C311"/>
    <w:rsid w:val="FF97B5F1"/>
    <w:rsid w:val="FF99F609"/>
    <w:rsid w:val="FF9EAA17"/>
    <w:rsid w:val="FFBDFA67"/>
    <w:rsid w:val="FFCDC557"/>
    <w:rsid w:val="FFD7358A"/>
    <w:rsid w:val="FFDF2051"/>
    <w:rsid w:val="FFE5EEA5"/>
    <w:rsid w:val="FFEDAEB4"/>
    <w:rsid w:val="FFF7655F"/>
    <w:rsid w:val="FFF7DDBC"/>
    <w:rsid w:val="FFFB62F9"/>
    <w:rsid w:val="FFFCF48F"/>
    <w:rsid w:val="FFFD2AA9"/>
    <w:rsid w:val="FFFDF1BD"/>
    <w:rsid w:val="FFFF58F6"/>
    <w:rsid w:val="FFFF6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link w:val="29"/>
    <w:qFormat/>
    <w:uiPriority w:val="0"/>
    <w:pPr>
      <w:keepNext/>
      <w:keepLines/>
      <w:numPr>
        <w:ilvl w:val="0"/>
        <w:numId w:val="1"/>
      </w:numPr>
      <w:spacing w:before="340" w:after="330" w:line="576" w:lineRule="auto"/>
      <w:outlineLvl w:val="0"/>
    </w:pPr>
    <w:rPr>
      <w:rFonts w:asciiTheme="minorHAnsi" w:hAnsiTheme="minorHAnsi" w:eastAsiaTheme="minorEastAsia" w:cstheme="minorBidi"/>
      <w:b/>
      <w:kern w:val="44"/>
      <w:sz w:val="44"/>
    </w:rPr>
  </w:style>
  <w:style w:type="paragraph" w:styleId="8">
    <w:name w:val="heading 2"/>
    <w:basedOn w:val="1"/>
    <w:next w:val="1"/>
    <w:link w:val="30"/>
    <w:qFormat/>
    <w:uiPriority w:val="0"/>
    <w:pPr>
      <w:keepNext/>
      <w:keepLines/>
      <w:numPr>
        <w:ilvl w:val="1"/>
        <w:numId w:val="1"/>
      </w:numPr>
      <w:spacing w:before="260" w:after="260" w:line="416" w:lineRule="auto"/>
      <w:jc w:val="center"/>
      <w:outlineLvl w:val="1"/>
    </w:pPr>
    <w:rPr>
      <w:rFonts w:ascii="Arial" w:hAnsi="Arial" w:eastAsia="黑体" w:cstheme="minorBidi"/>
      <w:b/>
      <w:bCs/>
      <w:sz w:val="32"/>
      <w:szCs w:val="32"/>
    </w:rPr>
  </w:style>
  <w:style w:type="paragraph" w:styleId="9">
    <w:name w:val="heading 3"/>
    <w:basedOn w:val="1"/>
    <w:next w:val="1"/>
    <w:link w:val="31"/>
    <w:qFormat/>
    <w:uiPriority w:val="0"/>
    <w:pPr>
      <w:keepNext/>
      <w:keepLines/>
      <w:numPr>
        <w:ilvl w:val="2"/>
        <w:numId w:val="1"/>
      </w:numPr>
      <w:spacing w:before="260" w:after="260" w:line="415" w:lineRule="auto"/>
      <w:outlineLvl w:val="2"/>
    </w:pPr>
    <w:rPr>
      <w:rFonts w:ascii="Times New Roman" w:hAnsi="Times New Roman" w:eastAsiaTheme="minorEastAsia" w:cstheme="minorBidi"/>
      <w:b/>
      <w:bCs/>
      <w:kern w:val="0"/>
      <w:sz w:val="28"/>
      <w:szCs w:val="32"/>
    </w:rPr>
  </w:style>
  <w:style w:type="paragraph" w:styleId="10">
    <w:name w:val="heading 4"/>
    <w:basedOn w:val="1"/>
    <w:next w:val="1"/>
    <w:link w:val="32"/>
    <w:unhideWhenUsed/>
    <w:qFormat/>
    <w:uiPriority w:val="0"/>
    <w:pPr>
      <w:keepNext/>
      <w:keepLines/>
      <w:numPr>
        <w:ilvl w:val="3"/>
        <w:numId w:val="1"/>
      </w:numPr>
      <w:spacing w:before="280" w:after="290" w:line="372" w:lineRule="auto"/>
      <w:outlineLvl w:val="3"/>
    </w:pPr>
    <w:rPr>
      <w:rFonts w:ascii="Arial" w:hAnsi="Arial" w:eastAsia="黑体" w:cstheme="minorBidi"/>
      <w:b/>
      <w:sz w:val="28"/>
    </w:rPr>
  </w:style>
  <w:style w:type="paragraph" w:styleId="11">
    <w:name w:val="heading 5"/>
    <w:basedOn w:val="1"/>
    <w:next w:val="1"/>
    <w:link w:val="33"/>
    <w:semiHidden/>
    <w:unhideWhenUsed/>
    <w:qFormat/>
    <w:uiPriority w:val="0"/>
    <w:pPr>
      <w:keepNext/>
      <w:keepLines/>
      <w:numPr>
        <w:ilvl w:val="4"/>
        <w:numId w:val="1"/>
      </w:numPr>
      <w:spacing w:before="280" w:after="290" w:line="372" w:lineRule="auto"/>
      <w:outlineLvl w:val="4"/>
    </w:pPr>
    <w:rPr>
      <w:rFonts w:asciiTheme="minorHAnsi" w:hAnsiTheme="minorHAnsi" w:eastAsiaTheme="minorEastAsia" w:cstheme="minorBidi"/>
      <w:b/>
      <w:sz w:val="28"/>
    </w:rPr>
  </w:style>
  <w:style w:type="paragraph" w:styleId="12">
    <w:name w:val="heading 6"/>
    <w:basedOn w:val="1"/>
    <w:next w:val="1"/>
    <w:link w:val="34"/>
    <w:semiHidden/>
    <w:unhideWhenUsed/>
    <w:qFormat/>
    <w:uiPriority w:val="0"/>
    <w:pPr>
      <w:keepNext/>
      <w:keepLines/>
      <w:numPr>
        <w:ilvl w:val="5"/>
        <w:numId w:val="1"/>
      </w:numPr>
      <w:spacing w:before="240" w:after="64" w:line="317" w:lineRule="auto"/>
      <w:outlineLvl w:val="5"/>
    </w:pPr>
    <w:rPr>
      <w:rFonts w:ascii="Arial" w:hAnsi="Arial" w:eastAsia="黑体" w:cstheme="minorBidi"/>
      <w:b/>
      <w:sz w:val="24"/>
    </w:rPr>
  </w:style>
  <w:style w:type="paragraph" w:styleId="13">
    <w:name w:val="heading 7"/>
    <w:basedOn w:val="1"/>
    <w:next w:val="1"/>
    <w:link w:val="35"/>
    <w:semiHidden/>
    <w:unhideWhenUsed/>
    <w:qFormat/>
    <w:uiPriority w:val="0"/>
    <w:pPr>
      <w:keepNext/>
      <w:keepLines/>
      <w:numPr>
        <w:ilvl w:val="6"/>
        <w:numId w:val="1"/>
      </w:numPr>
      <w:spacing w:before="240" w:after="64" w:line="317" w:lineRule="auto"/>
      <w:outlineLvl w:val="6"/>
    </w:pPr>
    <w:rPr>
      <w:rFonts w:asciiTheme="minorHAnsi" w:hAnsiTheme="minorHAnsi" w:eastAsiaTheme="minorEastAsia" w:cstheme="minorBidi"/>
      <w:b/>
      <w:sz w:val="24"/>
    </w:rPr>
  </w:style>
  <w:style w:type="paragraph" w:styleId="14">
    <w:name w:val="heading 8"/>
    <w:basedOn w:val="1"/>
    <w:next w:val="1"/>
    <w:link w:val="36"/>
    <w:semiHidden/>
    <w:unhideWhenUsed/>
    <w:qFormat/>
    <w:uiPriority w:val="0"/>
    <w:pPr>
      <w:keepNext/>
      <w:keepLines/>
      <w:numPr>
        <w:ilvl w:val="7"/>
        <w:numId w:val="1"/>
      </w:numPr>
      <w:spacing w:before="240" w:after="64" w:line="317" w:lineRule="auto"/>
      <w:outlineLvl w:val="7"/>
    </w:pPr>
    <w:rPr>
      <w:rFonts w:ascii="Arial" w:hAnsi="Arial" w:eastAsia="黑体" w:cstheme="minorBidi"/>
      <w:sz w:val="24"/>
    </w:rPr>
  </w:style>
  <w:style w:type="paragraph" w:styleId="15">
    <w:name w:val="heading 9"/>
    <w:basedOn w:val="1"/>
    <w:next w:val="1"/>
    <w:link w:val="37"/>
    <w:semiHidden/>
    <w:unhideWhenUsed/>
    <w:qFormat/>
    <w:uiPriority w:val="0"/>
    <w:pPr>
      <w:keepNext/>
      <w:keepLines/>
      <w:numPr>
        <w:ilvl w:val="8"/>
        <w:numId w:val="1"/>
      </w:numPr>
      <w:spacing w:before="240" w:after="64" w:line="317" w:lineRule="auto"/>
      <w:outlineLvl w:val="8"/>
    </w:pPr>
    <w:rPr>
      <w:rFonts w:ascii="Arial" w:hAnsi="Arial" w:eastAsia="黑体" w:cstheme="minorBidi"/>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tabs>
        <w:tab w:val="left" w:pos="1176"/>
      </w:tabs>
      <w:spacing w:after="120"/>
      <w:ind w:left="420" w:leftChars="200" w:firstLine="420" w:firstLineChars="200"/>
    </w:pPr>
    <w:rPr>
      <w:rFonts w:ascii="Times New Roman" w:hAnsi="Times New Roman"/>
      <w:sz w:val="21"/>
    </w:rPr>
  </w:style>
  <w:style w:type="paragraph" w:styleId="3">
    <w:name w:val="Body Text Indent"/>
    <w:basedOn w:val="1"/>
    <w:next w:val="4"/>
    <w:qFormat/>
    <w:uiPriority w:val="0"/>
    <w:pPr>
      <w:ind w:firstLine="645"/>
    </w:pPr>
    <w:rPr>
      <w:rFonts w:ascii="楷体_GB2312" w:eastAsia="楷体_GB2312"/>
      <w:sz w:val="32"/>
    </w:rPr>
  </w:style>
  <w:style w:type="paragraph" w:styleId="4">
    <w:name w:val="Body Text"/>
    <w:basedOn w:val="1"/>
    <w:next w:val="5"/>
    <w:link w:val="38"/>
    <w:qFormat/>
    <w:uiPriority w:val="0"/>
    <w:rPr>
      <w:rFonts w:ascii="宋体" w:hAnsi="Arial" w:eastAsiaTheme="minorEastAsia" w:cstheme="minorBidi"/>
      <w:sz w:val="28"/>
    </w:rPr>
  </w:style>
  <w:style w:type="paragraph" w:styleId="5">
    <w:name w:val="Date"/>
    <w:basedOn w:val="1"/>
    <w:next w:val="1"/>
    <w:qFormat/>
    <w:uiPriority w:val="0"/>
    <w:rPr>
      <w:b/>
      <w:sz w:val="28"/>
    </w:rPr>
  </w:style>
  <w:style w:type="paragraph" w:customStyle="1" w:styleId="6">
    <w:name w:val="正文格式"/>
    <w:basedOn w:val="1"/>
    <w:qFormat/>
    <w:uiPriority w:val="0"/>
    <w:rPr>
      <w:sz w:val="28"/>
    </w:rPr>
  </w:style>
  <w:style w:type="paragraph" w:styleId="16">
    <w:name w:val="annotation text"/>
    <w:basedOn w:val="1"/>
    <w:qFormat/>
    <w:uiPriority w:val="0"/>
    <w:pPr>
      <w:jc w:val="left"/>
    </w:pPr>
  </w:style>
  <w:style w:type="paragraph" w:styleId="17">
    <w:name w:val="Plain Text"/>
    <w:basedOn w:val="1"/>
    <w:link w:val="39"/>
    <w:qFormat/>
    <w:uiPriority w:val="0"/>
    <w:rPr>
      <w:rFonts w:ascii="宋体" w:hAnsi="Courier New" w:eastAsiaTheme="minorEastAsia" w:cstheme="minorBidi"/>
    </w:rPr>
  </w:style>
  <w:style w:type="paragraph" w:styleId="18">
    <w:name w:val="Balloon Text"/>
    <w:basedOn w:val="1"/>
    <w:link w:val="42"/>
    <w:semiHidden/>
    <w:unhideWhenUsed/>
    <w:qFormat/>
    <w:uiPriority w:val="0"/>
    <w:rPr>
      <w:sz w:val="18"/>
      <w:szCs w:val="18"/>
    </w:rPr>
  </w:style>
  <w:style w:type="paragraph" w:styleId="19">
    <w:name w:val="footer"/>
    <w:basedOn w:val="1"/>
    <w:link w:val="27"/>
    <w:qFormat/>
    <w:uiPriority w:val="99"/>
    <w:pPr>
      <w:tabs>
        <w:tab w:val="center" w:pos="4153"/>
        <w:tab w:val="right" w:pos="8306"/>
      </w:tabs>
      <w:snapToGrid w:val="0"/>
      <w:jc w:val="left"/>
    </w:pPr>
    <w:rPr>
      <w:sz w:val="18"/>
      <w:szCs w:val="18"/>
    </w:rPr>
  </w:style>
  <w:style w:type="paragraph" w:styleId="2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2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annotation reference"/>
    <w:basedOn w:val="24"/>
    <w:qFormat/>
    <w:uiPriority w:val="0"/>
    <w:rPr>
      <w:sz w:val="21"/>
      <w:szCs w:val="21"/>
    </w:rPr>
  </w:style>
  <w:style w:type="character" w:customStyle="1" w:styleId="26">
    <w:name w:val="页眉 字符"/>
    <w:basedOn w:val="24"/>
    <w:link w:val="20"/>
    <w:qFormat/>
    <w:uiPriority w:val="0"/>
    <w:rPr>
      <w:rFonts w:ascii="Calibri" w:hAnsi="Calibri"/>
      <w:kern w:val="2"/>
      <w:sz w:val="18"/>
      <w:szCs w:val="18"/>
    </w:rPr>
  </w:style>
  <w:style w:type="character" w:customStyle="1" w:styleId="27">
    <w:name w:val="页脚 字符"/>
    <w:basedOn w:val="24"/>
    <w:link w:val="19"/>
    <w:qFormat/>
    <w:uiPriority w:val="99"/>
    <w:rPr>
      <w:rFonts w:ascii="Calibri" w:hAnsi="Calibri"/>
      <w:kern w:val="2"/>
      <w:sz w:val="18"/>
      <w:szCs w:val="18"/>
    </w:rPr>
  </w:style>
  <w:style w:type="paragraph" w:customStyle="1" w:styleId="28">
    <w:name w:val="列表段落1"/>
    <w:basedOn w:val="1"/>
    <w:qFormat/>
    <w:uiPriority w:val="99"/>
    <w:pPr>
      <w:ind w:firstLine="420" w:firstLineChars="200"/>
    </w:pPr>
  </w:style>
  <w:style w:type="character" w:customStyle="1" w:styleId="29">
    <w:name w:val="标题 1 字符"/>
    <w:basedOn w:val="24"/>
    <w:link w:val="7"/>
    <w:qFormat/>
    <w:uiPriority w:val="0"/>
    <w:rPr>
      <w:rFonts w:asciiTheme="minorHAnsi" w:hAnsiTheme="minorHAnsi" w:eastAsiaTheme="minorEastAsia" w:cstheme="minorBidi"/>
      <w:b/>
      <w:kern w:val="44"/>
      <w:sz w:val="44"/>
      <w:szCs w:val="24"/>
    </w:rPr>
  </w:style>
  <w:style w:type="character" w:customStyle="1" w:styleId="30">
    <w:name w:val="标题 2 字符"/>
    <w:basedOn w:val="24"/>
    <w:link w:val="8"/>
    <w:qFormat/>
    <w:uiPriority w:val="0"/>
    <w:rPr>
      <w:rFonts w:ascii="Arial" w:hAnsi="Arial" w:eastAsia="黑体" w:cstheme="minorBidi"/>
      <w:b/>
      <w:bCs/>
      <w:kern w:val="2"/>
      <w:sz w:val="32"/>
      <w:szCs w:val="32"/>
    </w:rPr>
  </w:style>
  <w:style w:type="character" w:customStyle="1" w:styleId="31">
    <w:name w:val="标题 3 字符"/>
    <w:basedOn w:val="24"/>
    <w:link w:val="9"/>
    <w:qFormat/>
    <w:uiPriority w:val="0"/>
    <w:rPr>
      <w:rFonts w:eastAsiaTheme="minorEastAsia" w:cstheme="minorBidi"/>
      <w:b/>
      <w:bCs/>
      <w:sz w:val="28"/>
      <w:szCs w:val="32"/>
    </w:rPr>
  </w:style>
  <w:style w:type="character" w:customStyle="1" w:styleId="32">
    <w:name w:val="标题 4 字符"/>
    <w:basedOn w:val="24"/>
    <w:link w:val="10"/>
    <w:qFormat/>
    <w:uiPriority w:val="0"/>
    <w:rPr>
      <w:rFonts w:ascii="Arial" w:hAnsi="Arial" w:eastAsia="黑体" w:cstheme="minorBidi"/>
      <w:b/>
      <w:kern w:val="2"/>
      <w:sz w:val="28"/>
      <w:szCs w:val="24"/>
    </w:rPr>
  </w:style>
  <w:style w:type="character" w:customStyle="1" w:styleId="33">
    <w:name w:val="标题 5 字符"/>
    <w:basedOn w:val="24"/>
    <w:link w:val="11"/>
    <w:semiHidden/>
    <w:qFormat/>
    <w:uiPriority w:val="0"/>
    <w:rPr>
      <w:rFonts w:asciiTheme="minorHAnsi" w:hAnsiTheme="minorHAnsi" w:eastAsiaTheme="minorEastAsia" w:cstheme="minorBidi"/>
      <w:b/>
      <w:kern w:val="2"/>
      <w:sz w:val="28"/>
      <w:szCs w:val="24"/>
    </w:rPr>
  </w:style>
  <w:style w:type="character" w:customStyle="1" w:styleId="34">
    <w:name w:val="标题 6 字符"/>
    <w:basedOn w:val="24"/>
    <w:link w:val="12"/>
    <w:semiHidden/>
    <w:qFormat/>
    <w:uiPriority w:val="0"/>
    <w:rPr>
      <w:rFonts w:ascii="Arial" w:hAnsi="Arial" w:eastAsia="黑体" w:cstheme="minorBidi"/>
      <w:b/>
      <w:kern w:val="2"/>
      <w:sz w:val="24"/>
      <w:szCs w:val="24"/>
    </w:rPr>
  </w:style>
  <w:style w:type="character" w:customStyle="1" w:styleId="35">
    <w:name w:val="标题 7 字符"/>
    <w:basedOn w:val="24"/>
    <w:link w:val="13"/>
    <w:semiHidden/>
    <w:qFormat/>
    <w:uiPriority w:val="0"/>
    <w:rPr>
      <w:rFonts w:asciiTheme="minorHAnsi" w:hAnsiTheme="minorHAnsi" w:eastAsiaTheme="minorEastAsia" w:cstheme="minorBidi"/>
      <w:b/>
      <w:kern w:val="2"/>
      <w:sz w:val="24"/>
      <w:szCs w:val="24"/>
    </w:rPr>
  </w:style>
  <w:style w:type="character" w:customStyle="1" w:styleId="36">
    <w:name w:val="标题 8 字符"/>
    <w:basedOn w:val="24"/>
    <w:link w:val="14"/>
    <w:semiHidden/>
    <w:qFormat/>
    <w:uiPriority w:val="0"/>
    <w:rPr>
      <w:rFonts w:ascii="Arial" w:hAnsi="Arial" w:eastAsia="黑体" w:cstheme="minorBidi"/>
      <w:kern w:val="2"/>
      <w:sz w:val="24"/>
      <w:szCs w:val="24"/>
    </w:rPr>
  </w:style>
  <w:style w:type="character" w:customStyle="1" w:styleId="37">
    <w:name w:val="标题 9 字符"/>
    <w:basedOn w:val="24"/>
    <w:link w:val="15"/>
    <w:semiHidden/>
    <w:qFormat/>
    <w:uiPriority w:val="0"/>
    <w:rPr>
      <w:rFonts w:ascii="Arial" w:hAnsi="Arial" w:eastAsia="黑体" w:cstheme="minorBidi"/>
      <w:kern w:val="2"/>
      <w:sz w:val="21"/>
      <w:szCs w:val="24"/>
    </w:rPr>
  </w:style>
  <w:style w:type="character" w:customStyle="1" w:styleId="38">
    <w:name w:val="正文文本 字符"/>
    <w:basedOn w:val="24"/>
    <w:link w:val="4"/>
    <w:qFormat/>
    <w:uiPriority w:val="0"/>
    <w:rPr>
      <w:rFonts w:ascii="宋体" w:hAnsi="Arial" w:eastAsiaTheme="minorEastAsia" w:cstheme="minorBidi"/>
      <w:kern w:val="2"/>
      <w:sz w:val="28"/>
      <w:szCs w:val="24"/>
    </w:rPr>
  </w:style>
  <w:style w:type="character" w:customStyle="1" w:styleId="39">
    <w:name w:val="纯文本 字符"/>
    <w:basedOn w:val="24"/>
    <w:link w:val="17"/>
    <w:qFormat/>
    <w:uiPriority w:val="0"/>
    <w:rPr>
      <w:rFonts w:ascii="宋体" w:hAnsi="Courier New" w:eastAsiaTheme="minorEastAsia" w:cstheme="minorBidi"/>
      <w:kern w:val="2"/>
      <w:sz w:val="21"/>
      <w:szCs w:val="24"/>
    </w:rPr>
  </w:style>
  <w:style w:type="table" w:customStyle="1" w:styleId="40">
    <w:name w:val="网格型1"/>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1">
    <w:name w:val="List Paragraph"/>
    <w:basedOn w:val="1"/>
    <w:qFormat/>
    <w:uiPriority w:val="34"/>
    <w:pPr>
      <w:spacing w:line="360" w:lineRule="auto"/>
      <w:ind w:firstLine="420" w:firstLineChars="200"/>
    </w:pPr>
    <w:rPr>
      <w:rFonts w:ascii="宋体" w:hAnsi="宋体" w:cs="@仿宋_GB2312"/>
      <w:sz w:val="24"/>
      <w:szCs w:val="20"/>
    </w:rPr>
  </w:style>
  <w:style w:type="character" w:customStyle="1" w:styleId="42">
    <w:name w:val="批注框文本 字符"/>
    <w:basedOn w:val="24"/>
    <w:link w:val="18"/>
    <w:semiHidden/>
    <w:qFormat/>
    <w:uiPriority w:val="0"/>
    <w:rPr>
      <w:rFonts w:ascii="Calibri" w:hAnsi="Calibri"/>
      <w:kern w:val="2"/>
      <w:sz w:val="18"/>
      <w:szCs w:val="18"/>
    </w:rPr>
  </w:style>
  <w:style w:type="character" w:customStyle="1" w:styleId="43">
    <w:name w:val="font31"/>
    <w:basedOn w:val="24"/>
    <w:qFormat/>
    <w:uiPriority w:val="0"/>
    <w:rPr>
      <w:rFonts w:hint="eastAsia" w:ascii="仿宋_GB2312" w:eastAsia="仿宋_GB2312" w:cs="仿宋_GB2312"/>
      <w:color w:val="000000"/>
      <w:sz w:val="24"/>
      <w:szCs w:val="24"/>
      <w:u w:val="none"/>
    </w:rPr>
  </w:style>
  <w:style w:type="character" w:customStyle="1" w:styleId="44">
    <w:name w:val="font112"/>
    <w:basedOn w:val="24"/>
    <w:qFormat/>
    <w:uiPriority w:val="0"/>
    <w:rPr>
      <w:rFonts w:hint="eastAsia" w:ascii="宋体" w:hAnsi="宋体" w:eastAsia="宋体" w:cs="宋体"/>
      <w:color w:val="FF0000"/>
      <w:sz w:val="20"/>
      <w:szCs w:val="20"/>
      <w:u w:val="none"/>
    </w:rPr>
  </w:style>
  <w:style w:type="character" w:customStyle="1" w:styleId="45">
    <w:name w:val="font71"/>
    <w:basedOn w:val="24"/>
    <w:qFormat/>
    <w:uiPriority w:val="0"/>
    <w:rPr>
      <w:rFonts w:hint="eastAsia" w:ascii="宋体" w:hAnsi="宋体" w:eastAsia="宋体" w:cs="宋体"/>
      <w:color w:val="000000"/>
      <w:sz w:val="20"/>
      <w:szCs w:val="20"/>
      <w:u w:val="none"/>
    </w:rPr>
  </w:style>
  <w:style w:type="character" w:customStyle="1" w:styleId="46">
    <w:name w:val="font101"/>
    <w:basedOn w:val="24"/>
    <w:qFormat/>
    <w:uiPriority w:val="0"/>
    <w:rPr>
      <w:rFonts w:hint="eastAsia" w:ascii="宋体" w:hAnsi="宋体" w:eastAsia="宋体" w:cs="宋体"/>
      <w:color w:val="FF0000"/>
      <w:sz w:val="20"/>
      <w:szCs w:val="20"/>
      <w:u w:val="none"/>
    </w:rPr>
  </w:style>
  <w:style w:type="character" w:customStyle="1" w:styleId="47">
    <w:name w:val="font51"/>
    <w:basedOn w:val="24"/>
    <w:qFormat/>
    <w:uiPriority w:val="0"/>
    <w:rPr>
      <w:rFonts w:hint="eastAsia" w:ascii="宋体" w:hAnsi="宋体" w:eastAsia="宋体" w:cs="宋体"/>
      <w:color w:val="000000"/>
      <w:sz w:val="20"/>
      <w:szCs w:val="20"/>
      <w:u w:val="none"/>
    </w:rPr>
  </w:style>
  <w:style w:type="character" w:customStyle="1" w:styleId="48">
    <w:name w:val="font121"/>
    <w:basedOn w:val="24"/>
    <w:qFormat/>
    <w:uiPriority w:val="0"/>
    <w:rPr>
      <w:rFonts w:hint="eastAsia" w:ascii="宋体" w:hAnsi="宋体" w:eastAsia="宋体" w:cs="宋体"/>
      <w:color w:val="FF0000"/>
      <w:sz w:val="20"/>
      <w:szCs w:val="20"/>
      <w:u w:val="none"/>
    </w:rPr>
  </w:style>
  <w:style w:type="character" w:customStyle="1" w:styleId="49">
    <w:name w:val="font91"/>
    <w:basedOn w:val="24"/>
    <w:qFormat/>
    <w:uiPriority w:val="0"/>
    <w:rPr>
      <w:rFonts w:hint="eastAsia" w:ascii="宋体" w:hAnsi="宋体" w:eastAsia="宋体" w:cs="宋体"/>
      <w:color w:val="000000"/>
      <w:sz w:val="20"/>
      <w:szCs w:val="20"/>
      <w:u w:val="none"/>
    </w:rPr>
  </w:style>
  <w:style w:type="paragraph" w:customStyle="1" w:styleId="50">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styleId="51">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5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3">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918AD-1E78-4ED9-9F38-8AC5EDF0CE7D}">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3874</Words>
  <Characters>22088</Characters>
  <Lines>184</Lines>
  <Paragraphs>51</Paragraphs>
  <TotalTime>0</TotalTime>
  <ScaleCrop>false</ScaleCrop>
  <LinksUpToDate>false</LinksUpToDate>
  <CharactersWithSpaces>25911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2020-11-03T07:03:00Z</dcterms:created>
  <dc:creator>zhangyunlei</dc:creator>
  <cp:lastModifiedBy>海布里</cp:lastModifiedBy>
  <cp:lastPrinted>2021-08-10T10:18:00Z</cp:lastPrinted>
  <dcterms:modified xsi:type="dcterms:W3CDTF">2022-01-07T06:41:31Z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45521D157E8D483FAC49F4D1AA933B53</vt:lpwstr>
  </property>
</Properties>
</file>